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33E72">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7AA64453">
      <w:pPr>
        <w:jc w:val="center"/>
        <w:rPr>
          <w:rFonts w:hint="default" w:ascii="方正公文小标宋" w:hAnsi="方正公文小标宋" w:eastAsia="方正公文小标宋" w:cs="方正公文小标宋"/>
          <w:b w:val="0"/>
          <w:bCs/>
          <w:color w:val="auto"/>
          <w:spacing w:val="120"/>
          <w:w w:val="90"/>
          <w:kern w:val="56"/>
          <w:sz w:val="96"/>
          <w:szCs w:val="96"/>
          <w:lang w:val="en-US" w:eastAsia="zh-CN"/>
        </w:rPr>
      </w:pPr>
      <w:r>
        <w:rPr>
          <w:rFonts w:hint="eastAsia" w:ascii="方正公文小标宋" w:hAnsi="方正公文小标宋" w:eastAsia="方正公文小标宋" w:cs="方正公文小标宋"/>
          <w:b w:val="0"/>
          <w:bCs/>
          <w:color w:val="auto"/>
          <w:spacing w:val="120"/>
          <w:w w:val="90"/>
          <w:kern w:val="56"/>
          <w:sz w:val="96"/>
          <w:szCs w:val="96"/>
          <w:lang w:val="en-US" w:eastAsia="zh-CN"/>
        </w:rPr>
        <w:t>公开遴选项目</w:t>
      </w:r>
    </w:p>
    <w:p w14:paraId="4C1B36BF">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lang w:val="en-US" w:eastAsia="zh-CN"/>
        </w:rPr>
        <w:t>遴</w:t>
      </w:r>
      <w:r>
        <w:rPr>
          <w:rFonts w:hint="eastAsia" w:ascii="方正公文小标宋" w:hAnsi="方正公文小标宋" w:eastAsia="方正公文小标宋" w:cs="方正公文小标宋"/>
          <w:b w:val="0"/>
          <w:bCs/>
          <w:color w:val="auto"/>
          <w:spacing w:val="120"/>
          <w:w w:val="90"/>
          <w:kern w:val="56"/>
          <w:sz w:val="96"/>
          <w:szCs w:val="96"/>
        </w:rPr>
        <w:t>选文件</w:t>
      </w:r>
    </w:p>
    <w:p w14:paraId="50547FB4">
      <w:pPr>
        <w:jc w:val="center"/>
        <w:rPr>
          <w:rFonts w:hint="eastAsia" w:ascii="宋体" w:hAnsi="宋体"/>
          <w:color w:val="auto"/>
          <w:spacing w:val="40"/>
          <w:sz w:val="44"/>
          <w:szCs w:val="44"/>
        </w:rPr>
      </w:pPr>
    </w:p>
    <w:p w14:paraId="46760B0D">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03A0CF4F">
      <w:pPr>
        <w:jc w:val="both"/>
        <w:rPr>
          <w:rFonts w:hint="eastAsia" w:ascii="宋体" w:hAnsi="宋体"/>
          <w:color w:val="auto"/>
          <w:spacing w:val="40"/>
          <w:sz w:val="44"/>
          <w:szCs w:val="44"/>
        </w:rPr>
      </w:pPr>
    </w:p>
    <w:p w14:paraId="6A4369E0">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C15D4E2">
      <w:pPr>
        <w:pStyle w:val="12"/>
        <w:adjustRightInd w:val="0"/>
        <w:snapToGrid w:val="0"/>
        <w:spacing w:line="480" w:lineRule="auto"/>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val="en-US" w:eastAsia="zh-CN"/>
        </w:rPr>
        <w:t xml:space="preserve">      遴选</w:t>
      </w:r>
      <w:r>
        <w:rPr>
          <w:rFonts w:hint="eastAsia" w:ascii="黑体" w:hAnsi="黑体" w:eastAsia="黑体" w:cs="黑体"/>
          <w:b w:val="0"/>
          <w:bCs w:val="0"/>
          <w:color w:val="auto"/>
          <w:sz w:val="36"/>
          <w:szCs w:val="36"/>
          <w:lang w:eastAsia="zh-CN"/>
        </w:rPr>
        <w:t>项目名称：</w:t>
      </w:r>
      <w:r>
        <w:rPr>
          <w:rFonts w:hint="eastAsia" w:ascii="黑体" w:hAnsi="黑体" w:eastAsia="黑体" w:cs="黑体"/>
          <w:b w:val="0"/>
          <w:bCs w:val="0"/>
          <w:color w:val="auto"/>
          <w:sz w:val="36"/>
          <w:szCs w:val="36"/>
          <w:u w:val="single"/>
          <w:lang w:val="en-US" w:eastAsia="zh-CN"/>
        </w:rPr>
        <w:t>免陪照护服务第三方公司遴选项目</w:t>
      </w:r>
    </w:p>
    <w:p w14:paraId="259CC571">
      <w:pPr>
        <w:pStyle w:val="12"/>
        <w:adjustRightInd w:val="0"/>
        <w:snapToGrid w:val="0"/>
        <w:spacing w:line="480" w:lineRule="auto"/>
        <w:ind w:firstLine="1800" w:firstLineChars="500"/>
        <w:jc w:val="both"/>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36C2AA2E">
      <w:pPr>
        <w:pStyle w:val="12"/>
        <w:adjustRightInd w:val="0"/>
        <w:snapToGrid w:val="0"/>
        <w:spacing w:line="480" w:lineRule="auto"/>
        <w:ind w:firstLine="1800" w:firstLineChars="500"/>
        <w:jc w:val="both"/>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遴选</w:t>
      </w:r>
      <w:r>
        <w:rPr>
          <w:rFonts w:hint="eastAsia" w:ascii="黑体" w:hAnsi="黑体" w:eastAsia="黑体" w:cs="黑体"/>
          <w:b w:val="0"/>
          <w:bCs w:val="0"/>
          <w:color w:val="auto"/>
          <w:sz w:val="36"/>
          <w:szCs w:val="36"/>
          <w:lang w:eastAsia="zh-CN"/>
        </w:rPr>
        <w:t>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HNTJRY-LX2026-001</w:t>
      </w:r>
    </w:p>
    <w:p w14:paraId="1B7C8A8F">
      <w:pPr>
        <w:spacing w:line="360" w:lineRule="auto"/>
        <w:jc w:val="both"/>
        <w:rPr>
          <w:rFonts w:hint="eastAsia" w:ascii="黑体" w:hAnsi="黑体" w:eastAsia="黑体" w:cs="黑体"/>
          <w:color w:val="auto"/>
          <w:sz w:val="32"/>
          <w:szCs w:val="32"/>
          <w:lang w:eastAsia="zh-CN"/>
        </w:rPr>
      </w:pPr>
    </w:p>
    <w:p w14:paraId="3277647A">
      <w:pPr>
        <w:rPr>
          <w:rFonts w:hint="eastAsia"/>
          <w:color w:val="auto"/>
          <w:lang w:eastAsia="zh-CN"/>
        </w:rPr>
      </w:pPr>
    </w:p>
    <w:p w14:paraId="1270FAEA">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二</w:t>
      </w:r>
      <w:r>
        <w:rPr>
          <w:rFonts w:hint="eastAsia" w:ascii="方正楷体_GB2312" w:hAnsi="方正楷体_GB2312" w:eastAsia="方正楷体_GB2312" w:cs="方正楷体_GB2312"/>
          <w:b w:val="0"/>
          <w:bCs/>
          <w:color w:val="auto"/>
          <w:sz w:val="32"/>
          <w:szCs w:val="32"/>
          <w:lang w:eastAsia="zh-CN"/>
        </w:rPr>
        <w:t>月</w:t>
      </w:r>
    </w:p>
    <w:p w14:paraId="6CCB31A6">
      <w:pPr>
        <w:pStyle w:val="10"/>
        <w:ind w:left="0" w:leftChars="0" w:firstLine="0" w:firstLineChars="0"/>
        <w:jc w:val="left"/>
        <w:rPr>
          <w:rFonts w:hint="eastAsia"/>
          <w:color w:val="auto"/>
          <w:lang w:val="en-US" w:eastAsia="zh-CN"/>
        </w:rPr>
      </w:pPr>
    </w:p>
    <w:p w14:paraId="41DBBE44">
      <w:pPr>
        <w:pStyle w:val="10"/>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（本遴选文件仅适用于医院内部采购，最终解释权归院方所有）</w:t>
      </w:r>
      <w:bookmarkStart w:id="0" w:name="_Toc377371335"/>
      <w:bookmarkEnd w:id="0"/>
      <w:bookmarkStart w:id="1" w:name="_Toc396919473"/>
      <w:bookmarkEnd w:id="1"/>
      <w:bookmarkStart w:id="2" w:name="_Toc377222298"/>
      <w:bookmarkStart w:id="3" w:name="_Toc376872269"/>
    </w:p>
    <w:p w14:paraId="4E863F30">
      <w:pPr>
        <w:ind w:firstLine="420" w:firstLineChars="0"/>
        <w:jc w:val="center"/>
        <w:rPr>
          <w:rFonts w:hint="eastAsia" w:ascii="宋体" w:hAnsi="宋体"/>
          <w:b/>
          <w:color w:val="auto"/>
          <w:sz w:val="44"/>
          <w:szCs w:val="44"/>
        </w:rPr>
      </w:pPr>
    </w:p>
    <w:p w14:paraId="5BBDACD6">
      <w:pPr>
        <w:ind w:firstLine="420" w:firstLineChars="0"/>
        <w:jc w:val="center"/>
        <w:rPr>
          <w:rFonts w:hint="eastAsia" w:ascii="宋体" w:hAnsi="宋体"/>
          <w:b/>
          <w:color w:val="auto"/>
          <w:sz w:val="44"/>
          <w:szCs w:val="44"/>
        </w:rPr>
      </w:pPr>
    </w:p>
    <w:p w14:paraId="370AEFB0">
      <w:pPr>
        <w:ind w:firstLine="420" w:firstLineChars="0"/>
        <w:jc w:val="center"/>
        <w:rPr>
          <w:rFonts w:hint="eastAsia" w:ascii="宋体" w:hAnsi="宋体"/>
          <w:b/>
          <w:color w:val="auto"/>
          <w:sz w:val="44"/>
          <w:szCs w:val="44"/>
        </w:rPr>
      </w:pPr>
    </w:p>
    <w:p w14:paraId="71FD272E">
      <w:pPr>
        <w:ind w:firstLine="420" w:firstLineChars="0"/>
        <w:jc w:val="center"/>
        <w:rPr>
          <w:rFonts w:hint="eastAsia" w:ascii="宋体" w:hAnsi="宋体"/>
          <w:b/>
          <w:color w:val="auto"/>
          <w:sz w:val="44"/>
          <w:szCs w:val="44"/>
        </w:rPr>
      </w:pPr>
    </w:p>
    <w:p w14:paraId="157050B2">
      <w:pPr>
        <w:ind w:firstLine="420" w:firstLineChars="0"/>
        <w:jc w:val="center"/>
        <w:rPr>
          <w:rFonts w:hint="eastAsia" w:ascii="宋体" w:hAnsi="宋体"/>
          <w:b/>
          <w:color w:val="auto"/>
          <w:sz w:val="44"/>
          <w:szCs w:val="44"/>
        </w:rPr>
      </w:pPr>
    </w:p>
    <w:p w14:paraId="0521BC99">
      <w:pPr>
        <w:ind w:firstLine="420" w:firstLineChars="0"/>
        <w:jc w:val="center"/>
        <w:rPr>
          <w:rFonts w:hint="eastAsia" w:ascii="宋体" w:hAnsi="宋体"/>
          <w:b/>
          <w:color w:val="auto"/>
          <w:sz w:val="44"/>
          <w:szCs w:val="44"/>
        </w:rPr>
      </w:pPr>
    </w:p>
    <w:p w14:paraId="2047A702">
      <w:pPr>
        <w:ind w:firstLine="420" w:firstLineChars="0"/>
        <w:jc w:val="center"/>
        <w:rPr>
          <w:rFonts w:hint="eastAsia" w:ascii="宋体" w:hAnsi="宋体"/>
          <w:b/>
          <w:color w:val="auto"/>
          <w:sz w:val="44"/>
          <w:szCs w:val="44"/>
        </w:rPr>
      </w:pPr>
    </w:p>
    <w:p w14:paraId="0F35F075">
      <w:pPr>
        <w:ind w:firstLine="420" w:firstLineChars="0"/>
        <w:jc w:val="center"/>
        <w:rPr>
          <w:rFonts w:hint="eastAsia" w:ascii="宋体" w:hAnsi="宋体"/>
          <w:b/>
          <w:color w:val="auto"/>
          <w:sz w:val="44"/>
          <w:szCs w:val="44"/>
        </w:rPr>
      </w:pPr>
    </w:p>
    <w:p w14:paraId="6087756A">
      <w:pPr>
        <w:ind w:firstLine="420" w:firstLineChars="0"/>
        <w:jc w:val="center"/>
        <w:rPr>
          <w:rFonts w:hint="eastAsia" w:ascii="宋体" w:hAnsi="宋体"/>
          <w:b/>
          <w:color w:val="auto"/>
          <w:sz w:val="44"/>
          <w:szCs w:val="44"/>
        </w:rPr>
      </w:pPr>
    </w:p>
    <w:p w14:paraId="7C8BB9E8">
      <w:pPr>
        <w:ind w:firstLine="420" w:firstLineChars="0"/>
        <w:jc w:val="center"/>
        <w:rPr>
          <w:rFonts w:hint="eastAsia" w:ascii="宋体" w:hAnsi="宋体"/>
          <w:b/>
          <w:color w:val="auto"/>
          <w:sz w:val="44"/>
          <w:szCs w:val="44"/>
        </w:rPr>
      </w:pPr>
    </w:p>
    <w:p w14:paraId="219CEC32">
      <w:pPr>
        <w:ind w:firstLine="420" w:firstLineChars="0"/>
        <w:jc w:val="center"/>
        <w:rPr>
          <w:rFonts w:hint="eastAsia" w:ascii="宋体" w:hAnsi="宋体"/>
          <w:b/>
          <w:color w:val="auto"/>
          <w:sz w:val="44"/>
          <w:szCs w:val="44"/>
        </w:rPr>
      </w:pPr>
    </w:p>
    <w:p w14:paraId="5CE80136">
      <w:pPr>
        <w:ind w:firstLine="420" w:firstLineChars="0"/>
        <w:jc w:val="center"/>
        <w:rPr>
          <w:rFonts w:hint="eastAsia" w:ascii="宋体" w:hAnsi="宋体"/>
          <w:b/>
          <w:color w:val="auto"/>
          <w:sz w:val="44"/>
          <w:szCs w:val="44"/>
        </w:rPr>
      </w:pPr>
    </w:p>
    <w:p w14:paraId="568870E9">
      <w:pPr>
        <w:ind w:firstLine="420" w:firstLineChars="0"/>
        <w:jc w:val="center"/>
        <w:rPr>
          <w:rFonts w:hint="eastAsia" w:ascii="宋体" w:hAnsi="宋体"/>
          <w:b/>
          <w:color w:val="auto"/>
          <w:sz w:val="44"/>
          <w:szCs w:val="44"/>
        </w:rPr>
      </w:pPr>
    </w:p>
    <w:p w14:paraId="1EAC4FB5">
      <w:pPr>
        <w:ind w:firstLine="420" w:firstLineChars="0"/>
        <w:jc w:val="center"/>
        <w:rPr>
          <w:rFonts w:hint="eastAsia" w:ascii="宋体" w:hAnsi="宋体"/>
          <w:b/>
          <w:color w:val="auto"/>
          <w:sz w:val="44"/>
          <w:szCs w:val="44"/>
        </w:rPr>
      </w:pPr>
    </w:p>
    <w:p w14:paraId="2B5465FA">
      <w:pPr>
        <w:ind w:firstLine="420" w:firstLineChars="0"/>
        <w:jc w:val="center"/>
        <w:rPr>
          <w:rFonts w:hint="eastAsia" w:ascii="宋体" w:hAnsi="宋体"/>
          <w:b/>
          <w:color w:val="auto"/>
          <w:sz w:val="44"/>
          <w:szCs w:val="44"/>
        </w:rPr>
      </w:pPr>
    </w:p>
    <w:p w14:paraId="51EB2AAA">
      <w:pPr>
        <w:ind w:firstLine="420" w:firstLineChars="0"/>
        <w:jc w:val="center"/>
        <w:rPr>
          <w:rFonts w:hint="eastAsia" w:ascii="宋体" w:hAnsi="宋体"/>
          <w:b/>
          <w:color w:val="auto"/>
          <w:sz w:val="44"/>
          <w:szCs w:val="44"/>
        </w:rPr>
      </w:pPr>
    </w:p>
    <w:p w14:paraId="06DD22B9">
      <w:pPr>
        <w:ind w:firstLine="420" w:firstLineChars="0"/>
        <w:jc w:val="center"/>
        <w:rPr>
          <w:rFonts w:hint="eastAsia" w:ascii="宋体" w:hAnsi="宋体"/>
          <w:b/>
          <w:color w:val="auto"/>
          <w:sz w:val="44"/>
          <w:szCs w:val="44"/>
        </w:rPr>
      </w:pPr>
    </w:p>
    <w:p w14:paraId="28F2BC80">
      <w:pPr>
        <w:ind w:firstLine="420" w:firstLineChars="0"/>
        <w:jc w:val="center"/>
        <w:rPr>
          <w:rFonts w:hint="eastAsia" w:ascii="宋体" w:hAnsi="宋体"/>
          <w:b/>
          <w:color w:val="auto"/>
          <w:sz w:val="44"/>
          <w:szCs w:val="44"/>
        </w:rPr>
      </w:pPr>
    </w:p>
    <w:p w14:paraId="40AD1124">
      <w:pPr>
        <w:ind w:firstLine="420" w:firstLineChars="0"/>
        <w:jc w:val="center"/>
        <w:rPr>
          <w:rFonts w:hint="eastAsia" w:ascii="宋体" w:hAnsi="宋体"/>
          <w:b/>
          <w:color w:val="auto"/>
          <w:sz w:val="44"/>
          <w:szCs w:val="44"/>
        </w:rPr>
      </w:pPr>
    </w:p>
    <w:p w14:paraId="4D025E36">
      <w:pPr>
        <w:ind w:firstLine="420" w:firstLineChars="0"/>
        <w:jc w:val="center"/>
        <w:rPr>
          <w:rFonts w:hint="eastAsia" w:ascii="宋体" w:hAnsi="宋体"/>
          <w:b/>
          <w:color w:val="auto"/>
          <w:sz w:val="44"/>
          <w:szCs w:val="44"/>
        </w:rPr>
      </w:pPr>
    </w:p>
    <w:p w14:paraId="30421A31">
      <w:pPr>
        <w:ind w:firstLine="420" w:firstLineChars="0"/>
        <w:jc w:val="center"/>
        <w:rPr>
          <w:rFonts w:hint="eastAsia" w:ascii="宋体" w:hAnsi="宋体"/>
          <w:b/>
          <w:color w:val="auto"/>
          <w:sz w:val="44"/>
          <w:szCs w:val="44"/>
        </w:rPr>
      </w:pPr>
    </w:p>
    <w:p w14:paraId="201340D3">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供应商遴选</w:t>
      </w:r>
      <w:r>
        <w:rPr>
          <w:rFonts w:hint="eastAsia" w:ascii="黑体" w:hAnsi="黑体" w:eastAsia="黑体" w:cs="黑体"/>
          <w:b w:val="0"/>
          <w:bCs w:val="0"/>
          <w:color w:val="auto"/>
          <w:sz w:val="36"/>
          <w:szCs w:val="36"/>
          <w:lang w:eastAsia="zh-CN"/>
        </w:rPr>
        <w:t>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一、遴选邀请函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附件1：遴选通知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二、遴选须知前附表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遴选方法及无效报价条款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bookmarkStart w:id="18" w:name="_GoBack"/>
      <w:bookmarkEnd w:id="18"/>
      <w:r>
        <w:rPr>
          <w:rFonts w:hint="eastAsia" w:ascii="黑体" w:hAnsi="黑体" w:eastAsia="黑体" w:cs="黑体"/>
          <w:b w:val="0"/>
          <w:bCs w:val="0"/>
          <w:color w:val="auto"/>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七、响应承诺函</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八、采购需求响应/偏离表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九、服务方案</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十、投标人认为需要提供的证明材料</w:t>
      </w:r>
    </w:p>
    <w:p w14:paraId="2981D93E">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55D115F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0C4D7BD">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BE4448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9E089A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F574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C2877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6EA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36B1A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428BA4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8B622E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6A7C4B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3B8648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FA4A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D3B50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46A2D1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3002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2DB4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BF64CD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64741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E6AAD3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F9940F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959C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7458D9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24E99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D045EEB">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B5C7FD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F51E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27963512">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lang w:eastAsia="zh-CN"/>
        </w:rPr>
        <w:t>遴选邀请</w:t>
      </w:r>
    </w:p>
    <w:p w14:paraId="0D3CDCAB">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4AF2B0B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一、遴选</w:t>
      </w:r>
      <w:r>
        <w:rPr>
          <w:rFonts w:hint="eastAsia" w:ascii="黑体" w:hAnsi="黑体" w:eastAsia="黑体" w:cs="黑体"/>
          <w:b w:val="0"/>
          <w:bCs w:val="0"/>
          <w:color w:val="auto"/>
          <w:sz w:val="36"/>
          <w:szCs w:val="36"/>
        </w:rPr>
        <w:t>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免陪照护服务第三方公司</w:t>
      </w:r>
      <w:r>
        <w:rPr>
          <w:rFonts w:hint="eastAsia" w:ascii="方正仿宋_GB2312" w:hAnsi="方正仿宋_GB2312" w:eastAsia="方正仿宋_GB2312" w:cs="方正仿宋_GB2312"/>
          <w:color w:val="auto"/>
          <w:sz w:val="32"/>
          <w:szCs w:val="32"/>
          <w:u w:val="none"/>
          <w:lang w:eastAsia="zh-CN"/>
        </w:rPr>
        <w:t>遴选项目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HNTJRY-LX2026-001</w:t>
      </w:r>
      <w:r>
        <w:rPr>
          <w:rFonts w:hint="eastAsia" w:ascii="方正仿宋_GB2312" w:hAnsi="方正仿宋_GB2312" w:eastAsia="方正仿宋_GB2312" w:cs="方正仿宋_GB2312"/>
          <w:color w:val="auto"/>
          <w:sz w:val="32"/>
          <w:szCs w:val="32"/>
        </w:rPr>
        <w:t>进行院内</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免陪照护服务第三方公司遴选项目</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3</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HNTJRY-LX2026-001</w:t>
      </w:r>
    </w:p>
    <w:p w14:paraId="4559F5CA">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4、入选公司数量：1家</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20"/>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772"/>
        <w:gridCol w:w="773"/>
        <w:gridCol w:w="1417"/>
        <w:gridCol w:w="1418"/>
        <w:gridCol w:w="1275"/>
      </w:tblGrid>
      <w:tr w14:paraId="313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0B7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E2E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服务年限</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DB2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417" w:type="dxa"/>
            <w:tcBorders>
              <w:top w:val="single" w:color="000000" w:sz="4" w:space="0"/>
              <w:left w:val="single" w:color="000000" w:sz="4" w:space="0"/>
              <w:bottom w:val="single" w:color="000000" w:sz="4" w:space="0"/>
              <w:right w:val="single" w:color="auto" w:sz="4" w:space="0"/>
            </w:tcBorders>
            <w:shd w:val="clear" w:color="auto" w:fill="auto"/>
            <w:vAlign w:val="center"/>
          </w:tcPr>
          <w:p w14:paraId="468D0B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遴选供应商数量</w:t>
            </w:r>
          </w:p>
        </w:tc>
        <w:tc>
          <w:tcPr>
            <w:tcW w:w="14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9749CC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D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385E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8D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免陪照护服务第三方公司</w:t>
            </w:r>
          </w:p>
          <w:p w14:paraId="098CDF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遴选项目</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35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B8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年</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65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5B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69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lang w:val="en-US" w:eastAsia="zh-CN"/>
              </w:rPr>
              <w:t>\</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6A3D5788">
      <w:pPr>
        <w:pStyle w:val="7"/>
        <w:ind w:firstLine="560" w:firstLineChars="200"/>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r>
        <w:rPr>
          <w:rFonts w:hint="eastAsia" w:ascii="方正仿宋_GB2312" w:hAnsi="方正仿宋_GB2312" w:eastAsia="方正仿宋_GB2312" w:cs="方正仿宋_GB2312"/>
          <w:color w:val="auto"/>
          <w:sz w:val="28"/>
          <w:szCs w:val="28"/>
          <w:highlight w:val="none"/>
          <w:u w:val="single"/>
          <w:lang w:val="en-US" w:eastAsia="zh-CN"/>
        </w:rPr>
        <w:t>投标人</w:t>
      </w:r>
      <w:r>
        <w:rPr>
          <w:rFonts w:hint="eastAsia" w:ascii="方正仿宋_GB2312" w:hAnsi="方正仿宋_GB2312" w:eastAsia="方正仿宋_GB2312" w:cs="方正仿宋_GB2312"/>
          <w:strike w:val="0"/>
          <w:dstrike w:val="0"/>
          <w:color w:val="auto"/>
          <w:sz w:val="28"/>
          <w:szCs w:val="28"/>
          <w:highlight w:val="none"/>
          <w:u w:val="single"/>
          <w:lang w:val="en-US" w:eastAsia="zh-CN"/>
        </w:rPr>
        <w:t>提供的</w:t>
      </w:r>
      <w:r>
        <w:rPr>
          <w:rFonts w:hint="eastAsia" w:ascii="方正仿宋_GB2312" w:hAnsi="方正仿宋_GB2312" w:eastAsia="方正仿宋_GB2312" w:cs="方正仿宋_GB2312"/>
          <w:color w:val="auto"/>
          <w:sz w:val="28"/>
          <w:szCs w:val="28"/>
          <w:highlight w:val="none"/>
          <w:u w:val="single"/>
          <w:lang w:val="en-US" w:eastAsia="zh-CN"/>
        </w:rPr>
        <w:t>营业执照中的经营范围需包含“病人陪护”服务。</w:t>
      </w:r>
    </w:p>
    <w:p w14:paraId="3C8DFA35">
      <w:pPr>
        <w:pStyle w:val="7"/>
        <w:ind w:firstLine="560" w:firstLineChars="200"/>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none"/>
          <w:lang w:val="en-US" w:eastAsia="zh-CN"/>
        </w:rPr>
        <w:t>3、本项目不接受联合体投标。</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三、遴选文件的获取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w:t>
      </w:r>
      <w:r>
        <w:rPr>
          <w:rFonts w:hint="eastAsia" w:ascii="方正仿宋_GB2312" w:hAnsi="方正仿宋_GB2312" w:eastAsia="方正仿宋_GB2312" w:cs="方正仿宋_GB2312"/>
          <w:color w:val="auto"/>
          <w:kern w:val="0"/>
          <w:sz w:val="28"/>
          <w:szCs w:val="28"/>
          <w:lang w:val="en-US" w:eastAsia="zh-CN"/>
        </w:rPr>
        <w:t>，采购人向合格投标人发送《遴选通知》（附件1）。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遴选文件从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四、响应文件的递交以《遴选通知》要求为准。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5145AB14">
      <w:pPr>
        <w:pageBreakBefore w:val="0"/>
        <w:kinsoku/>
        <w:overflowPunct/>
        <w:topLinePunct w:val="0"/>
        <w:bidi w:val="0"/>
        <w:spacing w:line="594" w:lineRule="exact"/>
        <w:jc w:val="left"/>
        <w:rPr>
          <w:rFonts w:hint="eastAsia" w:ascii="宋体" w:hAnsi="宋体"/>
          <w:color w:val="auto"/>
          <w:sz w:val="28"/>
          <w:szCs w:val="28"/>
        </w:rPr>
      </w:pPr>
    </w:p>
    <w:p w14:paraId="69FE55AD">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0CC74780">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lang w:eastAsia="zh-CN"/>
        </w:rPr>
        <w:t>遴选</w:t>
      </w:r>
      <w:r>
        <w:rPr>
          <w:rFonts w:hint="eastAsia" w:ascii="黑体" w:hAnsi="黑体" w:eastAsia="黑体" w:cs="黑体"/>
          <w:b w:val="0"/>
          <w:bCs w:val="0"/>
          <w:color w:val="auto"/>
          <w:sz w:val="40"/>
          <w:szCs w:val="40"/>
        </w:rPr>
        <w:t>通知</w:t>
      </w:r>
    </w:p>
    <w:p w14:paraId="179E9599">
      <w:pPr>
        <w:pStyle w:val="8"/>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12F79D5B">
      <w:pPr>
        <w:pStyle w:val="12"/>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免陪照护服务第三方公司遴选项目</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HNTJRY-LX2026-001</w:t>
      </w:r>
      <w:r>
        <w:rPr>
          <w:rFonts w:hint="eastAsia" w:ascii="方正仿宋_GB2312" w:hAnsi="方正仿宋_GB2312" w:eastAsia="方正仿宋_GB2312" w:cs="方正仿宋_GB2312"/>
          <w:color w:val="auto"/>
          <w:sz w:val="28"/>
          <w:szCs w:val="28"/>
        </w:rPr>
        <w:t>）进行院内</w:t>
      </w:r>
      <w:r>
        <w:rPr>
          <w:rFonts w:hint="eastAsia" w:ascii="方正仿宋_GB2312" w:hAnsi="方正仿宋_GB2312" w:eastAsia="方正仿宋_GB2312" w:cs="方正仿宋_GB2312"/>
          <w:color w:val="auto"/>
          <w:sz w:val="28"/>
          <w:szCs w:val="28"/>
          <w:lang w:eastAsia="zh-CN"/>
        </w:rPr>
        <w:t>遴选</w:t>
      </w:r>
      <w:r>
        <w:rPr>
          <w:rFonts w:hint="eastAsia" w:ascii="方正仿宋_GB2312" w:hAnsi="方正仿宋_GB2312" w:eastAsia="方正仿宋_GB2312" w:cs="方正仿宋_GB2312"/>
          <w:color w:val="auto"/>
          <w:sz w:val="28"/>
          <w:szCs w:val="28"/>
        </w:rPr>
        <w:t>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3E297395">
      <w:pPr>
        <w:pStyle w:val="12"/>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按照《遴选通知》及《确认通知》内容，在规定的时间、地点参与该采购项目的开评标会议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4FEBB8BB">
      <w:pPr>
        <w:pStyle w:val="12"/>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遴选遴选文件</w:t>
      </w:r>
      <w:r>
        <w:rPr>
          <w:rFonts w:hint="eastAsia" w:ascii="方正仿宋_GB2312" w:hAnsi="方正仿宋_GB2312" w:eastAsia="方正仿宋_GB2312" w:cs="方正仿宋_GB2312"/>
          <w:color w:val="auto"/>
          <w:sz w:val="28"/>
          <w:szCs w:val="28"/>
        </w:rPr>
        <w:t>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22A36551">
      <w:pPr>
        <w:pStyle w:val="6"/>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（项目名称）遴选通知，确认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57FC3E7A">
      <w:pPr>
        <w:pStyle w:val="10"/>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3C27C20E">
      <w:pPr>
        <w:pStyle w:val="12"/>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0D0A31A6">
      <w:pPr>
        <w:pStyle w:val="12"/>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252CFA6B">
      <w:pPr>
        <w:pStyle w:val="12"/>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7FC4529">
      <w:pPr>
        <w:pStyle w:val="12"/>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049279F4">
      <w:pPr>
        <w:pStyle w:val="12"/>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4BBA26D8">
      <w:pPr>
        <w:pStyle w:val="6"/>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D436DC7">
      <w:pPr>
        <w:pStyle w:val="6"/>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2BFE3BBC">
      <w:pPr>
        <w:pStyle w:val="6"/>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0525169C">
      <w:pPr>
        <w:pStyle w:val="6"/>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21CA50F8">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遴选须知前附表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20"/>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4B14429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2312" w:hAnsi="方正仿宋_GB2312" w:eastAsia="方正仿宋_GB2312" w:cs="方正仿宋_GB2312"/>
                <w:color w:val="auto"/>
                <w:sz w:val="28"/>
                <w:szCs w:val="28"/>
                <w:u w:val="none"/>
                <w:lang w:val="zh-CN"/>
              </w:rPr>
            </w:pPr>
            <w:r>
              <w:rPr>
                <w:rFonts w:hint="eastAsia" w:ascii="方正仿宋_GB2312" w:hAnsi="方正仿宋_GB2312" w:eastAsia="方正仿宋_GB2312" w:cs="方正仿宋_GB2312"/>
                <w:color w:val="auto"/>
                <w:sz w:val="28"/>
                <w:szCs w:val="28"/>
                <w:u w:val="none"/>
                <w:lang w:val="zh-CN"/>
              </w:rPr>
              <w:t>桃江县人民医院</w:t>
            </w:r>
          </w:p>
          <w:p w14:paraId="2B7A296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免陪照护服务第三方公司遴选项目</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58C32C2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6A9822C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2、特定资格条件：</w:t>
            </w:r>
            <w:r>
              <w:rPr>
                <w:rFonts w:hint="eastAsia" w:ascii="方正仿宋_GB2312" w:hAnsi="方正仿宋_GB2312" w:eastAsia="方正仿宋_GB2312" w:cs="方正仿宋_GB2312"/>
                <w:color w:val="auto"/>
                <w:sz w:val="28"/>
                <w:szCs w:val="28"/>
                <w:highlight w:val="none"/>
                <w:u w:val="single"/>
                <w:lang w:val="en-US" w:eastAsia="zh-CN"/>
              </w:rPr>
              <w:t>投标人提供的</w:t>
            </w:r>
            <w:r>
              <w:rPr>
                <w:rFonts w:hint="eastAsia" w:ascii="方正仿宋_GB2312" w:hAnsi="方正仿宋_GB2312" w:eastAsia="方正仿宋_GB2312" w:cs="方正仿宋_GB2312"/>
                <w:strike w:val="0"/>
                <w:dstrike w:val="0"/>
                <w:color w:val="auto"/>
                <w:sz w:val="28"/>
                <w:szCs w:val="28"/>
                <w:highlight w:val="none"/>
                <w:u w:val="single"/>
                <w:lang w:val="en-US" w:eastAsia="zh-CN"/>
              </w:rPr>
              <w:t>营业执照中</w:t>
            </w:r>
            <w:r>
              <w:rPr>
                <w:rFonts w:hint="eastAsia" w:ascii="方正仿宋_GB2312" w:hAnsi="方正仿宋_GB2312" w:eastAsia="方正仿宋_GB2312" w:cs="方正仿宋_GB2312"/>
                <w:strike w:val="0"/>
                <w:color w:val="auto"/>
                <w:sz w:val="28"/>
                <w:szCs w:val="28"/>
                <w:highlight w:val="none"/>
                <w:u w:val="single"/>
                <w:lang w:val="en-US" w:eastAsia="zh-CN"/>
              </w:rPr>
              <w:t>经</w:t>
            </w:r>
            <w:r>
              <w:rPr>
                <w:rFonts w:hint="eastAsia" w:ascii="方正仿宋_GB2312" w:hAnsi="方正仿宋_GB2312" w:eastAsia="方正仿宋_GB2312" w:cs="方正仿宋_GB2312"/>
                <w:color w:val="auto"/>
                <w:sz w:val="28"/>
                <w:szCs w:val="28"/>
                <w:highlight w:val="none"/>
                <w:u w:val="single"/>
                <w:lang w:val="en-US" w:eastAsia="zh-CN"/>
              </w:rPr>
              <w:t>营范围需包含“病人陪护”服务</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 地点：/联系人：/ ，</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遴选文件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遴选文件</w:t>
            </w:r>
            <w:r>
              <w:rPr>
                <w:rFonts w:hint="eastAsia" w:ascii="方正仿宋_GB2312" w:hAnsi="方正仿宋_GB2312" w:eastAsia="方正仿宋_GB2312" w:cs="方正仿宋_GB2312"/>
                <w:color w:val="auto"/>
                <w:sz w:val="28"/>
                <w:szCs w:val="28"/>
              </w:rPr>
              <w:t>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遴选</w:t>
            </w:r>
            <w:r>
              <w:rPr>
                <w:rFonts w:hint="eastAsia" w:ascii="方正楷体_GB2312" w:hAnsi="方正楷体_GB2312" w:eastAsia="方正楷体_GB2312" w:cs="方正楷体_GB2312"/>
                <w:b w:val="0"/>
                <w:bCs w:val="0"/>
                <w:color w:val="auto"/>
                <w:sz w:val="32"/>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2694DE0D">
            <w:pPr>
              <w:pStyle w:val="10"/>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08C65BB8">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54E8D121">
            <w:pPr>
              <w:pStyle w:val="10"/>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除规定要求的签字（签章）、盖章外，需逐页加盖投标供应商公章。</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15DBA427">
            <w:pPr>
              <w:pStyle w:val="27"/>
              <w:keepNext w:val="0"/>
              <w:keepLines w:val="0"/>
              <w:pageBreakBefore w:val="0"/>
              <w:widowControl w:val="0"/>
              <w:numPr>
                <w:ilvl w:val="0"/>
                <w:numId w:val="0"/>
              </w:numPr>
              <w:kinsoku/>
              <w:wordWrap/>
              <w:overflowPunct/>
              <w:topLinePunct w:val="0"/>
              <w:autoSpaceDE/>
              <w:autoSpaceDN/>
              <w:bidi w:val="0"/>
              <w:snapToGrid w:val="0"/>
              <w:spacing w:line="514"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936ACBD">
            <w:pPr>
              <w:keepNext w:val="0"/>
              <w:keepLines w:val="0"/>
              <w:pageBreakBefore w:val="0"/>
              <w:widowControl w:val="0"/>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keepNext w:val="0"/>
              <w:keepLines w:val="0"/>
              <w:pageBreakBefore w:val="0"/>
              <w:widowControl w:val="0"/>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211E65FD">
            <w:pPr>
              <w:keepNext w:val="0"/>
              <w:keepLines w:val="0"/>
              <w:pageBreakBefore w:val="0"/>
              <w:widowControl w:val="0"/>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keepNext w:val="0"/>
              <w:keepLines w:val="0"/>
              <w:pageBreakBefore w:val="0"/>
              <w:widowControl w:val="0"/>
              <w:kinsoku/>
              <w:wordWrap/>
              <w:overflowPunct/>
              <w:topLinePunct w:val="0"/>
              <w:autoSpaceDE/>
              <w:autoSpaceDN/>
              <w:bidi w:val="0"/>
              <w:adjustRightInd w:val="0"/>
              <w:snapToGrid w:val="0"/>
              <w:spacing w:line="514" w:lineRule="exact"/>
              <w:textAlignment w:val="auto"/>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4B5841FF">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514" w:lineRule="exact"/>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val="en-US" w:eastAsia="zh-CN"/>
              </w:rPr>
              <w:t>80000.00万元整（捌万元整）</w:t>
            </w:r>
          </w:p>
          <w:p w14:paraId="068291B5">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缴纳方式：银行转账</w:t>
            </w:r>
          </w:p>
          <w:p w14:paraId="66F9EDB6">
            <w:pPr>
              <w:pStyle w:val="27"/>
              <w:keepNext w:val="0"/>
              <w:keepLines w:val="0"/>
              <w:pageBreakBefore w:val="0"/>
              <w:widowControl w:val="0"/>
              <w:numPr>
                <w:ilvl w:val="0"/>
                <w:numId w:val="0"/>
              </w:numPr>
              <w:kinsoku/>
              <w:wordWrap/>
              <w:overflowPunct/>
              <w:topLinePunct w:val="0"/>
              <w:autoSpaceDE/>
              <w:autoSpaceDN/>
              <w:bidi w:val="0"/>
              <w:adjustRightInd w:val="0"/>
              <w:snapToGrid w:val="0"/>
              <w:spacing w:line="514" w:lineRule="exact"/>
              <w:textAlignment w:val="auto"/>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合同签订的履约服务期结束后退还</w:t>
            </w:r>
          </w:p>
        </w:tc>
      </w:tr>
    </w:tbl>
    <w:p w14:paraId="45173214">
      <w:pPr>
        <w:pStyle w:val="8"/>
        <w:rPr>
          <w:rFonts w:hint="eastAsia" w:ascii="宋体" w:hAnsi="宋体"/>
          <w:b/>
          <w:color w:val="auto"/>
          <w:sz w:val="28"/>
          <w:szCs w:val="28"/>
        </w:rPr>
      </w:pPr>
    </w:p>
    <w:p w14:paraId="702AF45A">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3588EB5B">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5" w:name="_Toc396919493"/>
      <w:bookmarkEnd w:id="5"/>
      <w:r>
        <w:rPr>
          <w:rFonts w:hint="eastAsia" w:ascii="黑体" w:hAnsi="黑体" w:eastAsia="黑体" w:cs="黑体"/>
          <w:b w:val="0"/>
          <w:bCs/>
          <w:color w:val="auto"/>
          <w:kern w:val="2"/>
          <w:sz w:val="32"/>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免陪照护服务第三方公司遴选项目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2、入选公司数量：1家</w:t>
      </w:r>
    </w:p>
    <w:p w14:paraId="1FE3153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3、评审办法：</w:t>
      </w:r>
      <w:bookmarkStart w:id="6" w:name="OLE_LINK19"/>
      <w:r>
        <w:rPr>
          <w:rFonts w:hint="eastAsia" w:ascii="方正仿宋_GB2312" w:hAnsi="方正仿宋_GB2312" w:eastAsia="方正仿宋_GB2312" w:cs="方正仿宋_GB2312"/>
          <w:color w:val="auto"/>
          <w:sz w:val="32"/>
          <w:szCs w:val="32"/>
          <w:lang w:val="en-US" w:eastAsia="zh-CN"/>
        </w:rPr>
        <w:t>综合评分法</w:t>
      </w:r>
      <w:bookmarkEnd w:id="6"/>
    </w:p>
    <w:p w14:paraId="1076577D">
      <w:pPr>
        <w:pStyle w:val="6"/>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20"/>
        <w:tblW w:w="888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5"/>
        <w:gridCol w:w="1252"/>
        <w:gridCol w:w="773"/>
        <w:gridCol w:w="1417"/>
        <w:gridCol w:w="1418"/>
        <w:gridCol w:w="1275"/>
      </w:tblGrid>
      <w:tr w14:paraId="4BBC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BC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项目名称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897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服务年限</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D5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单位</w:t>
            </w:r>
          </w:p>
        </w:tc>
        <w:tc>
          <w:tcPr>
            <w:tcW w:w="1417" w:type="dxa"/>
            <w:tcBorders>
              <w:top w:val="single" w:color="000000" w:sz="4" w:space="0"/>
              <w:left w:val="single" w:color="000000" w:sz="4" w:space="0"/>
              <w:bottom w:val="single" w:color="000000" w:sz="4" w:space="0"/>
              <w:right w:val="single" w:color="auto" w:sz="4" w:space="0"/>
            </w:tcBorders>
            <w:shd w:val="clear" w:color="auto" w:fill="auto"/>
            <w:vAlign w:val="center"/>
          </w:tcPr>
          <w:p w14:paraId="281181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遴选供应商数量</w:t>
            </w:r>
          </w:p>
        </w:tc>
        <w:tc>
          <w:tcPr>
            <w:tcW w:w="14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C60D83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20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微软雅黑" w:hAnsi="微软雅黑" w:eastAsia="微软雅黑" w:cs="微软雅黑"/>
                <w:b w:val="0"/>
                <w:bCs w:val="0"/>
                <w:color w:val="auto"/>
                <w:kern w:val="0"/>
                <w:sz w:val="24"/>
                <w:szCs w:val="24"/>
                <w:lang w:val="en-US" w:eastAsia="zh-CN"/>
              </w:rPr>
            </w:pPr>
            <w:r>
              <w:rPr>
                <w:rFonts w:hint="eastAsia" w:ascii="微软雅黑" w:hAnsi="微软雅黑" w:eastAsia="微软雅黑" w:cs="微软雅黑"/>
                <w:b w:val="0"/>
                <w:bCs w:val="0"/>
                <w:color w:val="auto"/>
                <w:kern w:val="0"/>
                <w:sz w:val="24"/>
                <w:szCs w:val="24"/>
                <w:lang w:val="en-US" w:eastAsia="zh-CN"/>
              </w:rPr>
              <w:t>备注</w:t>
            </w:r>
          </w:p>
        </w:tc>
      </w:tr>
      <w:tr w14:paraId="68CD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A6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免陪照护服务</w:t>
            </w:r>
          </w:p>
          <w:p w14:paraId="6A3158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第三方公司遴选</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F5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BA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年</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83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B9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家</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2DB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w:t>
            </w:r>
          </w:p>
        </w:tc>
      </w:tr>
    </w:tbl>
    <w:p w14:paraId="6D34AE72">
      <w:pPr>
        <w:keepNext w:val="0"/>
        <w:keepLines w:val="0"/>
        <w:pageBreakBefore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三、</w:t>
      </w:r>
      <w:r>
        <w:rPr>
          <w:rFonts w:hint="eastAsia" w:ascii="仿宋_GB2312" w:hAnsi="仿宋_GB2312" w:eastAsia="仿宋_GB2312" w:cs="仿宋_GB2312"/>
          <w:b/>
          <w:bCs w:val="0"/>
          <w:color w:val="auto"/>
          <w:kern w:val="0"/>
          <w:sz w:val="32"/>
          <w:szCs w:val="32"/>
          <w:lang w:val="en-US" w:eastAsia="zh-CN"/>
        </w:rPr>
        <w:t>服务范围及标准</w:t>
      </w:r>
    </w:p>
    <w:tbl>
      <w:tblPr>
        <w:tblStyle w:val="21"/>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631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AF1C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i w:val="0"/>
                <w:iCs w:val="0"/>
                <w:color w:val="auto"/>
                <w:kern w:val="2"/>
                <w:sz w:val="32"/>
                <w:szCs w:val="32"/>
                <w:u w:val="none"/>
                <w:lang w:val="en-US" w:eastAsia="zh-CN" w:bidi="ar-SA"/>
              </w:rPr>
            </w:pPr>
            <w:bookmarkStart w:id="7" w:name="_Toc21036"/>
            <w:r>
              <w:rPr>
                <w:rFonts w:hint="eastAsia" w:ascii="仿宋_GB2312" w:hAnsi="仿宋_GB2312" w:eastAsia="仿宋_GB2312" w:cs="仿宋_GB2312"/>
                <w:b/>
                <w:bCs/>
                <w:i w:val="0"/>
                <w:iCs w:val="0"/>
                <w:color w:val="auto"/>
                <w:kern w:val="2"/>
                <w:sz w:val="32"/>
                <w:szCs w:val="32"/>
                <w:u w:val="none"/>
                <w:lang w:val="en-US" w:eastAsia="zh-CN" w:bidi="ar-SA"/>
              </w:rPr>
              <w:t>序号</w:t>
            </w:r>
          </w:p>
        </w:tc>
        <w:tc>
          <w:tcPr>
            <w:tcW w:w="8235" w:type="dxa"/>
            <w:vAlign w:val="center"/>
          </w:tcPr>
          <w:p w14:paraId="65108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具体要求内容</w:t>
            </w:r>
          </w:p>
        </w:tc>
      </w:tr>
      <w:tr w14:paraId="1DE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90" w:type="dxa"/>
            <w:vAlign w:val="center"/>
          </w:tcPr>
          <w:p w14:paraId="06AE10E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p>
        </w:tc>
        <w:tc>
          <w:tcPr>
            <w:tcW w:w="8235" w:type="dxa"/>
            <w:vAlign w:val="center"/>
          </w:tcPr>
          <w:p w14:paraId="0F8E5F3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根据医院患者及家属所需，提供院内的专业免陪照护服务。</w:t>
            </w:r>
          </w:p>
        </w:tc>
      </w:tr>
      <w:tr w14:paraId="42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8DB0AC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p>
        </w:tc>
        <w:tc>
          <w:tcPr>
            <w:tcW w:w="8235" w:type="dxa"/>
            <w:vAlign w:val="center"/>
          </w:tcPr>
          <w:p w14:paraId="0C4644D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满足患者的生活照护需求，并达到医院管理的相关要求，保持患者安全、清洁无异味，患者及家属满意度≥90%，服务投诉每月＜2次。</w:t>
            </w:r>
          </w:p>
        </w:tc>
      </w:tr>
      <w:tr w14:paraId="4DB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F510A4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w:t>
            </w:r>
          </w:p>
        </w:tc>
        <w:tc>
          <w:tcPr>
            <w:tcW w:w="8235" w:type="dxa"/>
            <w:vAlign w:val="center"/>
          </w:tcPr>
          <w:p w14:paraId="13FF93C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根据医院及科室需求，开展免陪照护病房的建设和推广，遵守医院相关制度、流程、收费等规定，提供相应的人员、服务及个性化的服务项目。</w:t>
            </w:r>
          </w:p>
        </w:tc>
      </w:tr>
      <w:tr w14:paraId="01D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005E7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w:t>
            </w:r>
          </w:p>
        </w:tc>
        <w:tc>
          <w:tcPr>
            <w:tcW w:w="8235" w:type="dxa"/>
            <w:vAlign w:val="center"/>
          </w:tcPr>
          <w:p w14:paraId="66E4CB0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服从患者所在科室护士长及护士的指导和监督，无违法违纪现象。</w:t>
            </w:r>
          </w:p>
        </w:tc>
      </w:tr>
      <w:tr w14:paraId="76C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334A71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w:t>
            </w:r>
          </w:p>
        </w:tc>
        <w:tc>
          <w:tcPr>
            <w:tcW w:w="8235" w:type="dxa"/>
            <w:vAlign w:val="center"/>
          </w:tcPr>
          <w:p w14:paraId="778F5FC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医疗护理员需满足以下条件：年龄18-60周岁、体检合格、身份证、健康证均在有效期内，具有初中及以上文化程度，品行良好有责任心，持医疗护理员合格证，并经过第三方公司与医院相关科室培训，培训合格后方可上岗。</w:t>
            </w:r>
          </w:p>
        </w:tc>
      </w:tr>
    </w:tbl>
    <w:p w14:paraId="21D8C828">
      <w:pPr>
        <w:keepNext w:val="0"/>
        <w:keepLines w:val="0"/>
        <w:pageBreakBefore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四、服务内容</w:t>
      </w:r>
    </w:p>
    <w:tbl>
      <w:tblPr>
        <w:tblStyle w:val="21"/>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55D9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840A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序号</w:t>
            </w:r>
          </w:p>
        </w:tc>
        <w:tc>
          <w:tcPr>
            <w:tcW w:w="8235" w:type="dxa"/>
            <w:vAlign w:val="center"/>
          </w:tcPr>
          <w:p w14:paraId="1ECA78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具体要求内容</w:t>
            </w:r>
          </w:p>
        </w:tc>
      </w:tr>
      <w:tr w14:paraId="4C03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690" w:type="dxa"/>
            <w:vAlign w:val="center"/>
          </w:tcPr>
          <w:p w14:paraId="2481757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p>
        </w:tc>
        <w:tc>
          <w:tcPr>
            <w:tcW w:w="8235" w:type="dxa"/>
            <w:vAlign w:val="center"/>
          </w:tcPr>
          <w:p w14:paraId="524C685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晨晚间护理：如协助病人洗脸、漱口、梳头、洗脚(泡脚)、整理床单位等，随时保持病房的整洁，整理好所管病人用物，及时关闭电视，保持病房安静，做好室内床单位设施、设备及被服管理。</w:t>
            </w:r>
          </w:p>
        </w:tc>
      </w:tr>
      <w:tr w14:paraId="48D8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90" w:type="dxa"/>
            <w:vAlign w:val="center"/>
          </w:tcPr>
          <w:p w14:paraId="5A4CFEB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p>
        </w:tc>
        <w:tc>
          <w:tcPr>
            <w:tcW w:w="8235" w:type="dxa"/>
            <w:vAlign w:val="center"/>
          </w:tcPr>
          <w:p w14:paraId="79654FF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生活照顾：如喂饭、喂药、喂水，普通病人协助洗澡、洗头、擦澡、如厕、清理大小便(大小便器的使用)，以及协助病人翻身、搬运等。</w:t>
            </w:r>
          </w:p>
        </w:tc>
      </w:tr>
      <w:tr w14:paraId="4728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690" w:type="dxa"/>
            <w:vAlign w:val="center"/>
          </w:tcPr>
          <w:p w14:paraId="6235C7F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w:t>
            </w:r>
          </w:p>
        </w:tc>
        <w:tc>
          <w:tcPr>
            <w:tcW w:w="8235" w:type="dxa"/>
            <w:vAlign w:val="center"/>
          </w:tcPr>
          <w:p w14:paraId="14428D4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清洁处理：如患者餐具、便器、痰杯等，患者餐具、便器需专人专用，每日消毒1次。</w:t>
            </w:r>
          </w:p>
        </w:tc>
      </w:tr>
      <w:tr w14:paraId="754B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90" w:type="dxa"/>
            <w:vAlign w:val="center"/>
          </w:tcPr>
          <w:p w14:paraId="6187D8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w:t>
            </w:r>
          </w:p>
        </w:tc>
        <w:tc>
          <w:tcPr>
            <w:tcW w:w="8235" w:type="dxa"/>
            <w:vAlign w:val="center"/>
          </w:tcPr>
          <w:p w14:paraId="45E41BE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卫生处置：如修剪指(趾)甲、更换患者衣服、协助更换床单、被套、枕套等</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val="en-US" w:eastAsia="zh-CN"/>
              </w:rPr>
              <w:t>为病人换洗衣物(洗衣用品病人提供)。</w:t>
            </w:r>
          </w:p>
        </w:tc>
      </w:tr>
      <w:tr w14:paraId="258D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690" w:type="dxa"/>
            <w:vAlign w:val="center"/>
          </w:tcPr>
          <w:p w14:paraId="1B3575B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w:t>
            </w:r>
          </w:p>
        </w:tc>
        <w:tc>
          <w:tcPr>
            <w:tcW w:w="8235" w:type="dxa"/>
            <w:vAlign w:val="center"/>
          </w:tcPr>
          <w:p w14:paraId="5E44C4D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功能锻炼：在护士的指导下完成患者如协助肢体活动、局部皮肤按摩、呼吸和排痰训练及相关专科康复锻炼等。</w:t>
            </w:r>
          </w:p>
        </w:tc>
      </w:tr>
      <w:tr w14:paraId="2528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90" w:type="dxa"/>
            <w:vAlign w:val="center"/>
          </w:tcPr>
          <w:p w14:paraId="17016A7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w:t>
            </w:r>
          </w:p>
        </w:tc>
        <w:tc>
          <w:tcPr>
            <w:tcW w:w="8235" w:type="dxa"/>
            <w:vAlign w:val="center"/>
          </w:tcPr>
          <w:p w14:paraId="421B2FD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观察项目：协助责任护士观察患者输液、输氧情况，进食情况，排便情况，睡眠情况并掌握患者去向等，发现异常及时报告医护人员。</w:t>
            </w:r>
          </w:p>
        </w:tc>
      </w:tr>
      <w:tr w14:paraId="567A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90" w:type="dxa"/>
            <w:vAlign w:val="center"/>
          </w:tcPr>
          <w:p w14:paraId="3B85E78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7</w:t>
            </w:r>
          </w:p>
        </w:tc>
        <w:tc>
          <w:tcPr>
            <w:tcW w:w="8235" w:type="dxa"/>
            <w:vAlign w:val="center"/>
          </w:tcPr>
          <w:p w14:paraId="6DF691B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巡视患者：上班期间主动巡视，及时发现并协助解决患者日常生活所需。</w:t>
            </w:r>
          </w:p>
        </w:tc>
      </w:tr>
      <w:tr w14:paraId="6BAA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90" w:type="dxa"/>
            <w:vAlign w:val="center"/>
          </w:tcPr>
          <w:p w14:paraId="2E0EAC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8</w:t>
            </w:r>
          </w:p>
        </w:tc>
        <w:tc>
          <w:tcPr>
            <w:tcW w:w="8235" w:type="dxa"/>
            <w:vAlign w:val="center"/>
          </w:tcPr>
          <w:p w14:paraId="24173F3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协助患者及患者家属至相应科室进行检查(如X线检查、B 超、康复理疗、针灸等)。</w:t>
            </w:r>
          </w:p>
        </w:tc>
      </w:tr>
      <w:tr w14:paraId="6BD6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0" w:type="dxa"/>
            <w:vAlign w:val="center"/>
          </w:tcPr>
          <w:p w14:paraId="2D6C9CD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9</w:t>
            </w:r>
          </w:p>
        </w:tc>
        <w:tc>
          <w:tcPr>
            <w:tcW w:w="8235" w:type="dxa"/>
            <w:vAlign w:val="center"/>
          </w:tcPr>
          <w:p w14:paraId="0AA6A6C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根据医务人员指导采集标本(如尿液标本、大便标本、痰标本)。</w:t>
            </w:r>
          </w:p>
        </w:tc>
      </w:tr>
      <w:tr w14:paraId="1140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90" w:type="dxa"/>
            <w:vAlign w:val="center"/>
          </w:tcPr>
          <w:p w14:paraId="797E4A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10</w:t>
            </w:r>
          </w:p>
        </w:tc>
        <w:tc>
          <w:tcPr>
            <w:tcW w:w="8235" w:type="dxa"/>
            <w:vAlign w:val="center"/>
          </w:tcPr>
          <w:p w14:paraId="41DF9D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自觉维护患者心身健康(如与病人交谈，开导病人乐观向上)。</w:t>
            </w:r>
          </w:p>
        </w:tc>
      </w:tr>
      <w:tr w14:paraId="731D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690" w:type="dxa"/>
            <w:vAlign w:val="center"/>
          </w:tcPr>
          <w:p w14:paraId="20C5FD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w:t>
            </w:r>
          </w:p>
        </w:tc>
        <w:tc>
          <w:tcPr>
            <w:tcW w:w="8235" w:type="dxa"/>
            <w:vAlign w:val="center"/>
          </w:tcPr>
          <w:p w14:paraId="70ABB47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做好患者的安全防护：例如预防患者跌倒/坠床、误吸、噎食、烫伤、管路滑脱、压力性损伤等，日常做好手卫生、垃圾分类、环境物品的清洁消毒以及自身的职业防护等。</w:t>
            </w:r>
          </w:p>
        </w:tc>
      </w:tr>
      <w:tr w14:paraId="5C1E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8" w:hRule="atLeast"/>
        </w:trPr>
        <w:tc>
          <w:tcPr>
            <w:tcW w:w="690" w:type="dxa"/>
            <w:vAlign w:val="center"/>
          </w:tcPr>
          <w:p w14:paraId="41421F0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12</w:t>
            </w:r>
          </w:p>
        </w:tc>
        <w:tc>
          <w:tcPr>
            <w:tcW w:w="8235" w:type="dxa"/>
            <w:vAlign w:val="center"/>
          </w:tcPr>
          <w:p w14:paraId="03A611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其他辅助性工作：</w:t>
            </w:r>
          </w:p>
          <w:p w14:paraId="207D2DB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1.负责预约检查及患者的陪检。</w:t>
            </w:r>
          </w:p>
          <w:p w14:paraId="5007935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2.负责患者订餐或院内购买饭菜，加热饭菜，必要时给患者喂饭。</w:t>
            </w:r>
          </w:p>
          <w:p w14:paraId="016E78B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3.协助护士为患者更换湿污床单、纸垫、衣服。</w:t>
            </w:r>
          </w:p>
          <w:p w14:paraId="665E53C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4.协助做</w:t>
            </w:r>
            <w:r>
              <w:rPr>
                <w:rFonts w:hint="eastAsia" w:ascii="仿宋_GB2312" w:hAnsi="仿宋_GB2312" w:eastAsia="仿宋_GB2312" w:cs="仿宋_GB2312"/>
                <w:color w:val="auto"/>
                <w:kern w:val="0"/>
                <w:sz w:val="28"/>
                <w:szCs w:val="28"/>
                <w:lang w:val="en-US" w:eastAsia="zh-CN"/>
              </w:rPr>
              <w:t>好病房管理，督促探视家属离院</w:t>
            </w:r>
            <w:r>
              <w:rPr>
                <w:rFonts w:hint="eastAsia" w:ascii="仿宋_GB2312" w:hAnsi="仿宋_GB2312" w:eastAsia="仿宋_GB2312" w:cs="仿宋_GB2312"/>
                <w:color w:val="auto"/>
                <w:kern w:val="0"/>
                <w:sz w:val="28"/>
                <w:szCs w:val="28"/>
                <w:lang w:val="en-US" w:eastAsia="zh-CN"/>
              </w:rPr>
              <w:t>，协助轮椅平车的保管保养工作。</w:t>
            </w:r>
          </w:p>
          <w:p w14:paraId="09C4B63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5.协助做好微波炉管理，帮助所有患者热饭菜，督促患者、家属、陪护人员不得在病房煮生食，不得私自使用电器。</w:t>
            </w:r>
          </w:p>
          <w:p w14:paraId="18CB4F8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6.参与所管床位患者及家属的劝烟工作，负责病房每天的定时开窗通风2次，每次不少于30分钟。</w:t>
            </w:r>
          </w:p>
        </w:tc>
      </w:tr>
    </w:tbl>
    <w:p w14:paraId="075349EE">
      <w:pPr>
        <w:keepNext w:val="0"/>
        <w:keepLines w:val="0"/>
        <w:pageBreakBefore w:val="0"/>
        <w:kinsoku/>
        <w:wordWrap/>
        <w:overflowPunct/>
        <w:topLinePunct w:val="0"/>
        <w:autoSpaceDE/>
        <w:autoSpaceDN/>
        <w:bidi w:val="0"/>
        <w:adjustRightInd/>
        <w:snapToGrid/>
        <w:spacing w:line="574" w:lineRule="exact"/>
        <w:ind w:firstLine="643" w:firstLineChars="200"/>
        <w:jc w:val="both"/>
        <w:textAlignment w:val="auto"/>
        <w:rPr>
          <w:rFonts w:hint="eastAsia" w:ascii="仿宋_GB2312" w:hAnsi="仿宋_GB2312" w:eastAsia="仿宋_GB2312" w:cs="仿宋_GB2312"/>
          <w:b/>
          <w:bCs w:val="0"/>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五、服务公司管理要求</w:t>
      </w:r>
    </w:p>
    <w:tbl>
      <w:tblPr>
        <w:tblStyle w:val="21"/>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2319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00991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序号</w:t>
            </w:r>
          </w:p>
        </w:tc>
        <w:tc>
          <w:tcPr>
            <w:tcW w:w="8235" w:type="dxa"/>
            <w:vAlign w:val="center"/>
          </w:tcPr>
          <w:p w14:paraId="4196E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i w:val="0"/>
                <w:iCs w:val="0"/>
                <w:color w:val="auto"/>
                <w:kern w:val="2"/>
                <w:sz w:val="32"/>
                <w:szCs w:val="32"/>
                <w:u w:val="none"/>
                <w:lang w:val="en-US" w:eastAsia="zh-CN" w:bidi="ar-SA"/>
              </w:rPr>
            </w:pPr>
            <w:r>
              <w:rPr>
                <w:rFonts w:hint="eastAsia" w:ascii="仿宋_GB2312" w:hAnsi="仿宋_GB2312" w:eastAsia="仿宋_GB2312" w:cs="仿宋_GB2312"/>
                <w:b/>
                <w:bCs/>
                <w:i w:val="0"/>
                <w:iCs w:val="0"/>
                <w:color w:val="auto"/>
                <w:kern w:val="2"/>
                <w:sz w:val="32"/>
                <w:szCs w:val="32"/>
                <w:u w:val="none"/>
                <w:lang w:val="en-US" w:eastAsia="zh-CN" w:bidi="ar-SA"/>
              </w:rPr>
              <w:t>具体要求内容</w:t>
            </w:r>
          </w:p>
        </w:tc>
      </w:tr>
      <w:tr w14:paraId="640B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90" w:type="dxa"/>
            <w:vAlign w:val="center"/>
          </w:tcPr>
          <w:p w14:paraId="3EA5432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p>
        </w:tc>
        <w:tc>
          <w:tcPr>
            <w:tcW w:w="8235" w:type="dxa"/>
            <w:vAlign w:val="center"/>
          </w:tcPr>
          <w:p w14:paraId="46553AA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投标人应严格遵守国家法律法规及医院规章制度，并据此制订管理制度、培训方案、操作规程，明确工作职责、职业守则、服务规范及考核标准。医疗护理员必须在医护人员指导下工作，严禁从事医疗护理技术性操作。</w:t>
            </w:r>
          </w:p>
        </w:tc>
      </w:tr>
      <w:tr w14:paraId="5F5B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690" w:type="dxa"/>
            <w:vAlign w:val="center"/>
          </w:tcPr>
          <w:p w14:paraId="2BF83F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p>
        </w:tc>
        <w:tc>
          <w:tcPr>
            <w:tcW w:w="8235" w:type="dxa"/>
            <w:vAlign w:val="center"/>
          </w:tcPr>
          <w:p w14:paraId="309B044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陪护服务公司应使用培训考核合格的医疗护理员，并合法、规范用工。应有专人管理，定期组织体检、在岗培训与能力评估，实行动态管理。</w:t>
            </w:r>
          </w:p>
        </w:tc>
      </w:tr>
      <w:tr w14:paraId="7B7E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90" w:type="dxa"/>
            <w:vAlign w:val="center"/>
          </w:tcPr>
          <w:p w14:paraId="211D4CD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w:t>
            </w:r>
          </w:p>
        </w:tc>
        <w:tc>
          <w:tcPr>
            <w:tcW w:w="8235" w:type="dxa"/>
            <w:vAlign w:val="center"/>
          </w:tcPr>
          <w:p w14:paraId="6D5A126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服务公司配备的督导员与医疗护理员比例不得低于1:30。公司需提供各级管理人员及督导员职责，报护理部审核。</w:t>
            </w:r>
          </w:p>
        </w:tc>
      </w:tr>
      <w:tr w14:paraId="322C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0255A79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w:t>
            </w:r>
          </w:p>
        </w:tc>
        <w:tc>
          <w:tcPr>
            <w:tcW w:w="8235" w:type="dxa"/>
            <w:vAlign w:val="center"/>
          </w:tcPr>
          <w:p w14:paraId="6E06503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负责医疗护理员的招聘、培训与管理，完善准入、培训制度与计划，做好岗前与日常培训；关注员工思想动态，及时疏导。</w:t>
            </w:r>
          </w:p>
        </w:tc>
      </w:tr>
      <w:tr w14:paraId="0B3D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1D06A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w:t>
            </w:r>
          </w:p>
        </w:tc>
        <w:tc>
          <w:tcPr>
            <w:tcW w:w="8235" w:type="dxa"/>
            <w:vAlign w:val="center"/>
          </w:tcPr>
          <w:p w14:paraId="094FDC2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服务公司制定的管理方案、制度、绩效考核细则、工作流程等，须与医院商议并经审查同意后执行。调整时须共同审核、备案。</w:t>
            </w:r>
          </w:p>
        </w:tc>
      </w:tr>
      <w:tr w14:paraId="1AC7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C271AA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w:t>
            </w:r>
          </w:p>
        </w:tc>
        <w:tc>
          <w:tcPr>
            <w:tcW w:w="8235" w:type="dxa"/>
            <w:vAlign w:val="center"/>
          </w:tcPr>
          <w:p w14:paraId="60CB810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保证医疗护理员休息，节假日期间由公司提供代班人员，确保病房需求。</w:t>
            </w:r>
          </w:p>
        </w:tc>
      </w:tr>
      <w:tr w14:paraId="1ED7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1692D7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7</w:t>
            </w:r>
          </w:p>
        </w:tc>
        <w:tc>
          <w:tcPr>
            <w:tcW w:w="8235" w:type="dxa"/>
            <w:vAlign w:val="center"/>
          </w:tcPr>
          <w:p w14:paraId="1346E01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在岗医疗护理员不得留宿非在岗人员。其带入病区的物品须符合公司明确规定。严禁买卖物资、在病房加工生食等行为。</w:t>
            </w:r>
          </w:p>
        </w:tc>
      </w:tr>
      <w:tr w14:paraId="6D9D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55EE6E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8</w:t>
            </w:r>
          </w:p>
        </w:tc>
        <w:tc>
          <w:tcPr>
            <w:tcW w:w="8235" w:type="dxa"/>
            <w:vAlign w:val="center"/>
          </w:tcPr>
          <w:p w14:paraId="6C24240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医疗护理员须统一规范着装，佩戴胸牌。督导员须对其基本素质、劳动纪律及服务质量进行监管，定期对工作职责落实情况进行现场检查与记录，总结并整改问题。</w:t>
            </w:r>
          </w:p>
        </w:tc>
      </w:tr>
      <w:tr w14:paraId="5804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3ED537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9</w:t>
            </w:r>
          </w:p>
        </w:tc>
        <w:tc>
          <w:tcPr>
            <w:tcW w:w="8235" w:type="dxa"/>
            <w:vAlign w:val="center"/>
          </w:tcPr>
          <w:p w14:paraId="2A303B4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医疗护理员承担所负责患者的陪检工作（危重患者与医护人员共同完成）须确保患者安全。陪检过程中因操作失误导致患者意外，由服务公司承担全部责任。</w:t>
            </w:r>
          </w:p>
        </w:tc>
      </w:tr>
      <w:tr w14:paraId="2AE5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F06944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10</w:t>
            </w:r>
          </w:p>
        </w:tc>
        <w:tc>
          <w:tcPr>
            <w:tcW w:w="8235" w:type="dxa"/>
            <w:vAlign w:val="center"/>
          </w:tcPr>
          <w:p w14:paraId="1AC7CD9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医疗护理员的自身人身安全、工作中的风险及因其违法违纪产生的一切后果，均由公司承担。</w:t>
            </w:r>
          </w:p>
        </w:tc>
      </w:tr>
      <w:tr w14:paraId="4F24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D6B491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w:t>
            </w:r>
          </w:p>
        </w:tc>
        <w:tc>
          <w:tcPr>
            <w:tcW w:w="8235" w:type="dxa"/>
            <w:vAlign w:val="center"/>
          </w:tcPr>
          <w:p w14:paraId="21DD95D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日常服务中发生的投诉、纠纷及突发事件由公司积极妥善解决，若对医院造成负面影响公司负全部责任。</w:t>
            </w:r>
          </w:p>
        </w:tc>
      </w:tr>
      <w:tr w14:paraId="79AA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0327C66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12</w:t>
            </w:r>
          </w:p>
        </w:tc>
        <w:tc>
          <w:tcPr>
            <w:tcW w:w="8235" w:type="dxa"/>
            <w:vAlign w:val="center"/>
          </w:tcPr>
          <w:p w14:paraId="212930F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遇重大疫情或流行性疾病时，公司须对所有医疗护理员进行防控知识技能培训与考核，并监督其落实院感措施，相关记录须留存。</w:t>
            </w:r>
          </w:p>
        </w:tc>
      </w:tr>
      <w:tr w14:paraId="52CE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78948E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14</w:t>
            </w:r>
          </w:p>
        </w:tc>
        <w:tc>
          <w:tcPr>
            <w:tcW w:w="8235" w:type="dxa"/>
            <w:vAlign w:val="center"/>
          </w:tcPr>
          <w:p w14:paraId="6073F8C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当患者、家属或科室对服务不满意时，公司管理人员应及时到场处理，必要时更换人员。因服务不到位导致的不良事件，由公司全权负责。</w:t>
            </w:r>
          </w:p>
        </w:tc>
      </w:tr>
      <w:tr w14:paraId="3C41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90" w:type="dxa"/>
            <w:vAlign w:val="center"/>
          </w:tcPr>
          <w:p w14:paraId="7626695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17</w:t>
            </w:r>
          </w:p>
        </w:tc>
        <w:tc>
          <w:tcPr>
            <w:tcW w:w="8235" w:type="dxa"/>
            <w:vAlign w:val="center"/>
          </w:tcPr>
          <w:p w14:paraId="6AFBC8E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根据患者病情与自愿原则派遣护理员。专陪实行24小时一对一服务。免陪照护团护实行两班制，白班每名护理员照护不超过3名患者，夜班每名护理员照护不超过4名患者。对于高危患者，应根据科室评估增加人力或实行专陪。</w:t>
            </w:r>
          </w:p>
        </w:tc>
      </w:tr>
      <w:tr w14:paraId="2625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4C2CE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18</w:t>
            </w:r>
          </w:p>
        </w:tc>
        <w:tc>
          <w:tcPr>
            <w:tcW w:w="8235" w:type="dxa"/>
            <w:vAlign w:val="center"/>
          </w:tcPr>
          <w:p w14:paraId="51AADA9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严格按收费标准规范收费，不得随意抬价。严禁医疗护理员或公司人员售卖物品、私自收取现金、索要财物或红包。一经查实，必须立即退还；造成不良影响的，服务公司须严肃处理。</w:t>
            </w:r>
          </w:p>
        </w:tc>
      </w:tr>
      <w:tr w14:paraId="1F3F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9F2635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19</w:t>
            </w:r>
          </w:p>
        </w:tc>
        <w:tc>
          <w:tcPr>
            <w:tcW w:w="8235" w:type="dxa"/>
            <w:vAlign w:val="center"/>
          </w:tcPr>
          <w:p w14:paraId="46F32DF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医疗护理员严禁在病区接私单、转接工单，不得因此争吵扰乱秩序。不得在病区内会客。专陪非紧急情况不得串病房。</w:t>
            </w:r>
          </w:p>
        </w:tc>
      </w:tr>
      <w:tr w14:paraId="4E26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5ACAF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20</w:t>
            </w:r>
          </w:p>
        </w:tc>
        <w:tc>
          <w:tcPr>
            <w:tcW w:w="8235" w:type="dxa"/>
            <w:vAlign w:val="center"/>
          </w:tcPr>
          <w:p w14:paraId="6025EA5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陪护时间计算：自陪护当天起至次日9时为一天，依次类推。出院当天超过10时费用另计。</w:t>
            </w:r>
          </w:p>
        </w:tc>
      </w:tr>
      <w:tr w14:paraId="57AA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6A2F3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21</w:t>
            </w:r>
          </w:p>
        </w:tc>
        <w:tc>
          <w:tcPr>
            <w:tcW w:w="8235" w:type="dxa"/>
            <w:vAlign w:val="center"/>
          </w:tcPr>
          <w:p w14:paraId="1339B44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strike w:val="0"/>
                <w:dstrike w:val="0"/>
                <w:color w:val="auto"/>
                <w:kern w:val="0"/>
                <w:sz w:val="28"/>
                <w:szCs w:val="28"/>
                <w:lang w:val="en-US" w:eastAsia="zh-CN"/>
              </w:rPr>
              <w:t>护理员突发离职、缺岗时，公司需及时调配人员到岗，并向护理部进行备案。</w:t>
            </w:r>
          </w:p>
        </w:tc>
      </w:tr>
      <w:tr w14:paraId="7F4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9DB2F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22</w:t>
            </w:r>
          </w:p>
        </w:tc>
        <w:tc>
          <w:tcPr>
            <w:tcW w:w="8235" w:type="dxa"/>
            <w:vAlign w:val="center"/>
          </w:tcPr>
          <w:p w14:paraId="0AFD7A0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strike w:val="0"/>
                <w:dstrike w:val="0"/>
                <w:color w:val="auto"/>
                <w:kern w:val="0"/>
                <w:sz w:val="28"/>
                <w:szCs w:val="28"/>
                <w:lang w:val="en-US" w:eastAsia="zh-CN"/>
              </w:rPr>
              <w:t>服务公司出现连续2个月考核不合格、发生重大服务纠纷造成恶劣舆情、违规收费累计3次以上等情形，医院有权单方面终止合同</w:t>
            </w:r>
            <w:r>
              <w:rPr>
                <w:rFonts w:hint="eastAsia" w:ascii="仿宋_GB2312" w:hAnsi="仿宋_GB2312" w:eastAsia="仿宋_GB2312" w:cs="仿宋_GB2312"/>
                <w:color w:val="auto"/>
                <w:kern w:val="0"/>
                <w:sz w:val="28"/>
                <w:szCs w:val="28"/>
                <w:lang w:val="en-US" w:eastAsia="zh-CN"/>
              </w:rPr>
              <w:t>。</w:t>
            </w:r>
          </w:p>
        </w:tc>
      </w:tr>
      <w:tr w14:paraId="7E33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B7670D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23</w:t>
            </w:r>
          </w:p>
        </w:tc>
        <w:tc>
          <w:tcPr>
            <w:tcW w:w="8235" w:type="dxa"/>
            <w:vAlign w:val="center"/>
          </w:tcPr>
          <w:p w14:paraId="0344876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公司负责缴纳医疗护理员保险费用，与其发生的一切劳动纠纷由公司负责。</w:t>
            </w:r>
          </w:p>
        </w:tc>
      </w:tr>
      <w:tr w14:paraId="0C2F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00FDB4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24</w:t>
            </w:r>
          </w:p>
        </w:tc>
        <w:tc>
          <w:tcPr>
            <w:tcW w:w="8235" w:type="dxa"/>
            <w:vAlign w:val="center"/>
          </w:tcPr>
          <w:p w14:paraId="69CF094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公司管理人员及医疗护理员须爱护医院设施设备，规范使用，节约水电，若遇异常情况及时报告所在科室值班人员。因使用不当造成损失的，须协商赔偿。严禁任何偷盗行为及骚扰患者或家属，一经核实，服务公司须严肃处理。</w:t>
            </w:r>
          </w:p>
        </w:tc>
      </w:tr>
      <w:tr w14:paraId="14A3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BABE1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26</w:t>
            </w:r>
          </w:p>
        </w:tc>
        <w:tc>
          <w:tcPr>
            <w:tcW w:w="8235" w:type="dxa"/>
            <w:vAlign w:val="center"/>
          </w:tcPr>
          <w:p w14:paraId="4DC8B0C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trike/>
                <w:dstrike w:val="0"/>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服务公司应保证医疗护理员基本工资达到市内同行业平均水平，实行分层管理与绩效考核，方案须交医院审核。</w:t>
            </w:r>
          </w:p>
        </w:tc>
      </w:tr>
      <w:tr w14:paraId="3B68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54C1111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27</w:t>
            </w:r>
          </w:p>
        </w:tc>
        <w:tc>
          <w:tcPr>
            <w:tcW w:w="8235" w:type="dxa"/>
            <w:vAlign w:val="center"/>
          </w:tcPr>
          <w:p w14:paraId="242D2FF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服务公司负责与员工签订正规劳务协议，承担所有用人成本及运营物料费用。</w:t>
            </w:r>
          </w:p>
        </w:tc>
      </w:tr>
      <w:tr w14:paraId="517C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259258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28</w:t>
            </w:r>
          </w:p>
        </w:tc>
        <w:tc>
          <w:tcPr>
            <w:tcW w:w="8235" w:type="dxa"/>
            <w:vAlign w:val="center"/>
          </w:tcPr>
          <w:p w14:paraId="4355970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trike w:val="0"/>
                <w:dstrike w:val="0"/>
                <w:color w:val="auto"/>
                <w:kern w:val="0"/>
                <w:sz w:val="28"/>
                <w:szCs w:val="28"/>
                <w:lang w:val="en-US" w:eastAsia="zh-CN"/>
              </w:rPr>
            </w:pPr>
            <w:r>
              <w:rPr>
                <w:rFonts w:hint="eastAsia" w:ascii="仿宋_GB2312" w:hAnsi="仿宋_GB2312" w:eastAsia="仿宋_GB2312" w:cs="仿宋_GB2312"/>
                <w:strike w:val="0"/>
                <w:dstrike w:val="0"/>
                <w:color w:val="auto"/>
                <w:kern w:val="0"/>
                <w:sz w:val="28"/>
                <w:szCs w:val="28"/>
                <w:lang w:val="en-US" w:eastAsia="zh-CN"/>
              </w:rPr>
              <w:t>服务内容及收费标准要公开透明，接受监督。价格如需调整，须基于国家或地方相关政策，书面提出申请并交医院备案后方可执行。</w:t>
            </w:r>
          </w:p>
        </w:tc>
      </w:tr>
      <w:tr w14:paraId="6B2B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B7896C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29</w:t>
            </w:r>
          </w:p>
        </w:tc>
        <w:tc>
          <w:tcPr>
            <w:tcW w:w="8235" w:type="dxa"/>
            <w:vAlign w:val="center"/>
          </w:tcPr>
          <w:p w14:paraId="337BE07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严格遵守国家及医院规章制度，制订并执行管理制度、培训方案、操作规程、服务规范及考核标准，并向医院提供考核情况。</w:t>
            </w:r>
          </w:p>
        </w:tc>
      </w:tr>
    </w:tbl>
    <w:p w14:paraId="6EAB285D">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六、商务要求</w:t>
      </w:r>
      <w:bookmarkEnd w:id="7"/>
    </w:p>
    <w:p w14:paraId="078A67F9">
      <w:pPr>
        <w:ind w:firstLine="560" w:firstLineChars="200"/>
        <w:jc w:val="both"/>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（一）服务要求</w:t>
      </w:r>
    </w:p>
    <w:p w14:paraId="2F4F1198">
      <w:pPr>
        <w:ind w:firstLine="560"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1.免陪照护</w:t>
      </w:r>
      <w:r>
        <w:rPr>
          <w:rFonts w:hint="eastAsia" w:ascii="仿宋_GB2312" w:hAnsi="仿宋_GB2312" w:eastAsia="仿宋_GB2312" w:cs="仿宋_GB2312"/>
          <w:strike w:val="0"/>
          <w:dstrike w:val="0"/>
          <w:color w:val="auto"/>
          <w:kern w:val="0"/>
          <w:sz w:val="28"/>
          <w:szCs w:val="28"/>
          <w:lang w:val="en-US" w:eastAsia="zh-CN"/>
        </w:rPr>
        <w:t>服务收费标准</w:t>
      </w:r>
      <w:r>
        <w:rPr>
          <w:rFonts w:hint="eastAsia" w:ascii="仿宋_GB2312" w:hAnsi="仿宋_GB2312" w:eastAsia="仿宋_GB2312" w:cs="仿宋_GB2312"/>
          <w:color w:val="auto"/>
          <w:kern w:val="0"/>
          <w:sz w:val="28"/>
          <w:szCs w:val="28"/>
          <w:lang w:val="en-US" w:eastAsia="zh-CN"/>
        </w:rPr>
        <w:t>不得高于益阳市中心医院的收费标准。</w:t>
      </w:r>
    </w:p>
    <w:p w14:paraId="560ADD4C">
      <w:pPr>
        <w:ind w:firstLine="560"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2.服务期限：合同签订之日起1年</w:t>
      </w:r>
    </w:p>
    <w:p w14:paraId="1555AA82">
      <w:pPr>
        <w:ind w:firstLine="560"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（二）支付方式</w:t>
      </w:r>
    </w:p>
    <w:p w14:paraId="4F121E1C">
      <w:pPr>
        <w:ind w:firstLine="560"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1.患者或家属按服务内容与服务时长直接向服务公司支付费用。</w:t>
      </w:r>
    </w:p>
    <w:p w14:paraId="54043EF8">
      <w:pPr>
        <w:ind w:firstLine="560"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2.医院不收取</w:t>
      </w:r>
      <w:r>
        <w:rPr>
          <w:rFonts w:hint="eastAsia" w:ascii="仿宋_GB2312" w:hAnsi="仿宋_GB2312" w:eastAsia="仿宋_GB2312" w:cs="仿宋_GB2312"/>
          <w:strike w:val="0"/>
          <w:dstrike w:val="0"/>
          <w:color w:val="auto"/>
          <w:kern w:val="0"/>
          <w:sz w:val="28"/>
          <w:szCs w:val="28"/>
          <w:lang w:val="en-US" w:eastAsia="zh-CN"/>
        </w:rPr>
        <w:t>服务公司</w:t>
      </w:r>
      <w:r>
        <w:rPr>
          <w:rFonts w:hint="eastAsia" w:ascii="仿宋_GB2312" w:hAnsi="仿宋_GB2312" w:eastAsia="仿宋_GB2312" w:cs="仿宋_GB2312"/>
          <w:color w:val="auto"/>
          <w:kern w:val="0"/>
          <w:sz w:val="28"/>
          <w:szCs w:val="28"/>
          <w:lang w:val="en-US" w:eastAsia="zh-CN"/>
        </w:rPr>
        <w:t>管理费，但</w:t>
      </w:r>
      <w:r>
        <w:rPr>
          <w:rFonts w:hint="eastAsia" w:ascii="仿宋_GB2312" w:hAnsi="仿宋_GB2312" w:eastAsia="仿宋_GB2312" w:cs="仿宋_GB2312"/>
          <w:strike w:val="0"/>
          <w:dstrike w:val="0"/>
          <w:color w:val="auto"/>
          <w:kern w:val="0"/>
          <w:sz w:val="28"/>
          <w:szCs w:val="28"/>
          <w:lang w:val="en-US" w:eastAsia="zh-CN"/>
        </w:rPr>
        <w:t>服务公司</w:t>
      </w:r>
      <w:r>
        <w:rPr>
          <w:rFonts w:hint="eastAsia" w:ascii="仿宋_GB2312" w:hAnsi="仿宋_GB2312" w:eastAsia="仿宋_GB2312" w:cs="仿宋_GB2312"/>
          <w:color w:val="auto"/>
          <w:kern w:val="0"/>
          <w:sz w:val="28"/>
          <w:szCs w:val="28"/>
          <w:lang w:val="en-US" w:eastAsia="zh-CN"/>
        </w:rPr>
        <w:t>需向医院缴纳履约保证金8万元，合同终止后无违规行为，医院全额无息退还。</w:t>
      </w:r>
    </w:p>
    <w:p w14:paraId="5983DC2F">
      <w:pPr>
        <w:ind w:firstLine="560"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（三）其它</w:t>
      </w:r>
    </w:p>
    <w:p w14:paraId="58081DD3">
      <w:pPr>
        <w:ind w:firstLine="560" w:firstLineChars="200"/>
        <w:jc w:val="both"/>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1、履约保证金：</w:t>
      </w:r>
      <w:r>
        <w:rPr>
          <w:rFonts w:hint="eastAsia" w:ascii="方正仿宋_GB2312" w:hAnsi="方正仿宋_GB2312" w:eastAsia="方正仿宋_GB2312" w:cs="方正仿宋_GB2312"/>
          <w:color w:val="auto"/>
          <w:sz w:val="28"/>
          <w:szCs w:val="28"/>
          <w:highlight w:val="none"/>
          <w:lang w:val="en-US" w:eastAsia="zh-CN"/>
        </w:rPr>
        <w:t>归口管理职能科室（护理部）结合免陪照护服务实际情况在合同中约定并明确履约保证金的使用，补偿因不当行为造成的损失，威慑潜在违约行为，服务公司应无条件遵守，服从医院监督管理。</w:t>
      </w:r>
      <w:r>
        <w:rPr>
          <w:rFonts w:hint="eastAsia" w:ascii="仿宋_GB2312" w:hAnsi="仿宋_GB2312" w:eastAsia="仿宋_GB2312" w:cs="仿宋_GB2312"/>
          <w:color w:val="auto"/>
          <w:kern w:val="0"/>
          <w:sz w:val="28"/>
          <w:szCs w:val="28"/>
          <w:lang w:val="en-US" w:eastAsia="zh-CN"/>
        </w:rPr>
        <w:t>（提供承诺函，格式自拟）</w:t>
      </w:r>
    </w:p>
    <w:p w14:paraId="790FBCCD">
      <w:pPr>
        <w:ind w:firstLine="560" w:firstLineChars="200"/>
        <w:jc w:val="both"/>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2、其他未尽事宜，由采购人与遴选入围服务公司另行协商并在合同中进行约定。</w:t>
      </w:r>
    </w:p>
    <w:p w14:paraId="710B2DE4">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对于上述要求，投标人应在响应文件中进行回应。除遴选文件另有规定外，若出现有关法律、法规有强制性规定但遴选文件未列明的情形，则投标人应按照有关法律、法规强制性规定执行。</w:t>
      </w:r>
    </w:p>
    <w:p w14:paraId="12EC8C35">
      <w:pPr>
        <w:pStyle w:val="6"/>
        <w:pageBreakBefore w:val="0"/>
        <w:kinsoku/>
        <w:overflowPunct/>
        <w:topLinePunct w:val="0"/>
        <w:bidi w:val="0"/>
        <w:spacing w:line="594" w:lineRule="exact"/>
        <w:rPr>
          <w:rFonts w:hint="eastAsia" w:ascii="宋体" w:hAnsi="宋体"/>
          <w:b/>
          <w:color w:val="auto"/>
          <w:sz w:val="36"/>
          <w:szCs w:val="36"/>
        </w:rPr>
      </w:pPr>
    </w:p>
    <w:p w14:paraId="394F93BB">
      <w:pPr>
        <w:pStyle w:val="6"/>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4249D71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2C2FE46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8" w:name="_Toc467675506"/>
      <w:bookmarkEnd w:id="8"/>
      <w:r>
        <w:rPr>
          <w:rFonts w:hint="eastAsia" w:ascii="方正仿宋_GB2312" w:hAnsi="方正仿宋_GB2312" w:eastAsia="方正仿宋_GB2312" w:cs="方正仿宋_GB2312"/>
          <w:b/>
          <w:bCs/>
          <w:color w:val="auto"/>
          <w:kern w:val="0"/>
          <w:sz w:val="32"/>
          <w:szCs w:val="32"/>
          <w:lang w:val="en-US" w:eastAsia="zh-CN" w:bidi="ar-SA"/>
        </w:rPr>
        <w:t>一、评标方法</w:t>
      </w:r>
    </w:p>
    <w:p w14:paraId="46609297">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6607727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遴选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文件全部实质性要求且按照评审因素的量化指标评审得分最高的投标人为中标候选人的评标方法。投标人总得分为商务</w:t>
      </w:r>
      <w:r>
        <w:rPr>
          <w:rFonts w:hint="eastAsia" w:ascii="方正仿宋_GB2312" w:hAnsi="方正仿宋_GB2312" w:eastAsia="方正仿宋_GB2312" w:cs="方正仿宋_GB2312"/>
          <w:color w:val="auto"/>
          <w:kern w:val="0"/>
          <w:sz w:val="32"/>
          <w:szCs w:val="32"/>
          <w:lang w:eastAsia="zh-CN"/>
        </w:rPr>
        <w:t>、</w:t>
      </w:r>
      <w:r>
        <w:rPr>
          <w:rFonts w:hint="eastAsia" w:ascii="方正仿宋_GB2312" w:hAnsi="方正仿宋_GB2312" w:eastAsia="方正仿宋_GB2312" w:cs="方正仿宋_GB2312"/>
          <w:color w:val="auto"/>
          <w:kern w:val="0"/>
          <w:sz w:val="32"/>
          <w:szCs w:val="32"/>
        </w:rPr>
        <w:t>技术等评定因素分别按照相应权重值计算分项得分后相加，满分为100分。</w:t>
      </w:r>
    </w:p>
    <w:p w14:paraId="65DB065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遴选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70F280C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62B1650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73F9DC6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09D23D5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遴选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遴选响应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20"/>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14:paraId="0ED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FF4344">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37009A78">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00116146">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55B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14:paraId="34EAF13F">
            <w:pPr>
              <w:jc w:val="center"/>
              <w:rPr>
                <w:rFonts w:hint="eastAsia"/>
                <w:color w:val="auto"/>
              </w:rPr>
            </w:pPr>
            <w:r>
              <w:rPr>
                <w:rFonts w:hint="eastAsia"/>
                <w:color w:val="auto"/>
              </w:rPr>
              <w:t>1</w:t>
            </w:r>
          </w:p>
        </w:tc>
        <w:tc>
          <w:tcPr>
            <w:tcW w:w="670" w:type="dxa"/>
            <w:vMerge w:val="restart"/>
            <w:tcBorders>
              <w:top w:val="nil"/>
              <w:left w:val="nil"/>
              <w:right w:val="single" w:color="auto" w:sz="4" w:space="0"/>
            </w:tcBorders>
            <w:vAlign w:val="center"/>
          </w:tcPr>
          <w:p w14:paraId="7490026E">
            <w:pPr>
              <w:rPr>
                <w:rFonts w:hint="eastAsia"/>
                <w:color w:val="auto"/>
              </w:rPr>
            </w:pPr>
            <w:r>
              <w:rPr>
                <w:rFonts w:hint="eastAsia"/>
                <w:color w:val="auto"/>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14:paraId="44F235D1">
            <w:pPr>
              <w:rPr>
                <w:rFonts w:hint="eastAsia"/>
                <w:color w:val="auto"/>
              </w:rPr>
            </w:pPr>
            <w:r>
              <w:rPr>
                <w:rFonts w:hint="eastAsia"/>
                <w:color w:val="auto"/>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14:paraId="00F9AC42">
            <w:pPr>
              <w:rPr>
                <w:rFonts w:hint="default"/>
                <w:color w:val="auto"/>
                <w:lang w:val="en-US" w:eastAsia="zh-CN"/>
              </w:rPr>
            </w:pPr>
            <w:r>
              <w:rPr>
                <w:rFonts w:hint="eastAsia"/>
                <w:color w:val="auto"/>
                <w:lang w:val="en-US" w:eastAsia="zh-CN"/>
              </w:rPr>
              <w:t>1、</w:t>
            </w:r>
            <w:r>
              <w:rPr>
                <w:rFonts w:hint="eastAsia"/>
                <w:color w:val="auto"/>
                <w:u w:val="none"/>
              </w:rPr>
              <w:t>投标</w:t>
            </w:r>
            <w:r>
              <w:rPr>
                <w:rFonts w:hint="eastAsia"/>
                <w:color w:val="auto"/>
                <w:u w:val="none"/>
                <w:lang w:val="en-US" w:eastAsia="zh-CN"/>
              </w:rPr>
              <w:t>供应商</w:t>
            </w:r>
            <w:r>
              <w:rPr>
                <w:rFonts w:hint="eastAsia"/>
                <w:color w:val="auto"/>
              </w:rPr>
              <w:t>营业执照（副本）、投标人法定代表人身份证明和法定代表人授权代表委托书</w:t>
            </w:r>
            <w:r>
              <w:rPr>
                <w:rFonts w:hint="eastAsia"/>
                <w:color w:val="auto"/>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w:t>
            </w:r>
            <w:r>
              <w:rPr>
                <w:rFonts w:hint="eastAsia"/>
                <w:color w:val="auto"/>
                <w:lang w:val="zh-CN"/>
              </w:rPr>
              <w:t>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color w:val="auto"/>
              </w:rPr>
              <w:t>的任意1个月</w:t>
            </w:r>
            <w:r>
              <w:rPr>
                <w:rFonts w:hint="eastAsia"/>
                <w:color w:val="auto"/>
                <w:lang w:val="zh-CN"/>
              </w:rPr>
              <w:t>的供应商公司社保缴纳证明。（2）如果授权委托人无需缴纳社保的（如退休等），须提供无需缴纳社保的情况说明。</w:t>
            </w:r>
            <w:r>
              <w:rPr>
                <w:rFonts w:hint="eastAsia"/>
                <w:color w:val="auto"/>
                <w:lang w:eastAsia="zh-CN"/>
              </w:rPr>
              <w:t>）</w:t>
            </w:r>
          </w:p>
          <w:p w14:paraId="416813DB">
            <w:pPr>
              <w:rPr>
                <w:rFonts w:hint="eastAsia"/>
                <w:color w:val="auto"/>
                <w:lang w:val="en-US" w:eastAsia="zh-CN"/>
              </w:rPr>
            </w:pPr>
            <w:r>
              <w:rPr>
                <w:rFonts w:hint="eastAsia"/>
                <w:color w:val="auto"/>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14:paraId="67333ABC">
            <w:pPr>
              <w:rPr>
                <w:rFonts w:hint="default"/>
                <w:color w:val="auto"/>
                <w:lang w:val="en-US" w:eastAsia="zh-CN"/>
              </w:rPr>
            </w:pPr>
            <w:r>
              <w:rPr>
                <w:rFonts w:hint="eastAsia"/>
                <w:color w:val="auto"/>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14:paraId="76CBB108">
            <w:pPr>
              <w:rPr>
                <w:rFonts w:hint="eastAsia"/>
                <w:color w:val="auto"/>
                <w:lang w:eastAsia="zh-CN"/>
              </w:rPr>
            </w:pPr>
            <w:r>
              <w:rPr>
                <w:rFonts w:hint="eastAsia"/>
                <w:color w:val="auto"/>
                <w:lang w:val="en-US" w:eastAsia="zh-CN"/>
              </w:rPr>
              <w:t>4、</w:t>
            </w:r>
            <w:r>
              <w:rPr>
                <w:rFonts w:hint="eastAsia"/>
                <w:color w:val="auto"/>
              </w:rPr>
              <w:t>投标人提供</w:t>
            </w:r>
            <w:r>
              <w:rPr>
                <w:rFonts w:hint="eastAsia"/>
                <w:color w:val="auto"/>
                <w:lang w:eastAsia="zh-CN"/>
              </w:rPr>
              <w:t>相关证明材料及</w:t>
            </w:r>
            <w:r>
              <w:rPr>
                <w:rFonts w:hint="eastAsia"/>
                <w:color w:val="auto"/>
              </w:rPr>
              <w:t>诚信声明</w:t>
            </w:r>
            <w:r>
              <w:rPr>
                <w:rFonts w:hint="eastAsia"/>
                <w:color w:val="auto"/>
                <w:lang w:eastAsia="zh-CN"/>
              </w:rPr>
              <w:t>等</w:t>
            </w:r>
          </w:p>
        </w:tc>
      </w:tr>
      <w:tr w14:paraId="71B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14:paraId="7FB78953">
            <w:pPr>
              <w:jc w:val="center"/>
              <w:rPr>
                <w:rFonts w:hint="eastAsia"/>
                <w:color w:val="auto"/>
              </w:rPr>
            </w:pPr>
          </w:p>
        </w:tc>
        <w:tc>
          <w:tcPr>
            <w:tcW w:w="670" w:type="dxa"/>
            <w:vMerge w:val="continue"/>
            <w:tcBorders>
              <w:left w:val="nil"/>
              <w:right w:val="single" w:color="auto" w:sz="4" w:space="0"/>
            </w:tcBorders>
            <w:vAlign w:val="center"/>
          </w:tcPr>
          <w:p w14:paraId="5B19BE5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6A40710F">
            <w:pPr>
              <w:rPr>
                <w:rFonts w:hint="eastAsia"/>
                <w:color w:val="auto"/>
              </w:rPr>
            </w:pPr>
            <w:r>
              <w:rPr>
                <w:rFonts w:hint="eastAsia"/>
                <w:color w:val="auto"/>
              </w:rPr>
              <w:t>（2）具有良好的商业信誉和健全的财务会计制度</w:t>
            </w:r>
          </w:p>
        </w:tc>
        <w:tc>
          <w:tcPr>
            <w:tcW w:w="3120" w:type="dxa"/>
            <w:vMerge w:val="continue"/>
            <w:tcBorders>
              <w:left w:val="nil"/>
              <w:right w:val="single" w:color="auto" w:sz="4" w:space="0"/>
            </w:tcBorders>
            <w:vAlign w:val="center"/>
          </w:tcPr>
          <w:p w14:paraId="0855670D">
            <w:pPr>
              <w:ind w:firstLine="420" w:firstLineChars="200"/>
              <w:rPr>
                <w:rFonts w:hint="eastAsia"/>
                <w:color w:val="auto"/>
                <w:lang w:eastAsia="zh-CN"/>
              </w:rPr>
            </w:pPr>
          </w:p>
        </w:tc>
      </w:tr>
      <w:tr w14:paraId="5C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14:paraId="15F2A905">
            <w:pPr>
              <w:jc w:val="center"/>
              <w:rPr>
                <w:rFonts w:hint="eastAsia"/>
                <w:color w:val="auto"/>
              </w:rPr>
            </w:pPr>
          </w:p>
        </w:tc>
        <w:tc>
          <w:tcPr>
            <w:tcW w:w="670" w:type="dxa"/>
            <w:vMerge w:val="continue"/>
            <w:tcBorders>
              <w:left w:val="nil"/>
              <w:right w:val="single" w:color="auto" w:sz="4" w:space="0"/>
            </w:tcBorders>
            <w:vAlign w:val="center"/>
          </w:tcPr>
          <w:p w14:paraId="4D50C88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7CA0846">
            <w:pPr>
              <w:rPr>
                <w:rFonts w:hint="eastAsia"/>
                <w:color w:val="auto"/>
              </w:rPr>
            </w:pPr>
            <w:r>
              <w:rPr>
                <w:rFonts w:hint="eastAsia"/>
                <w:color w:val="auto"/>
              </w:rPr>
              <w:t>（3）有依法缴纳税收和社会保障金的良好记录</w:t>
            </w:r>
          </w:p>
        </w:tc>
        <w:tc>
          <w:tcPr>
            <w:tcW w:w="3120" w:type="dxa"/>
            <w:vMerge w:val="continue"/>
            <w:tcBorders>
              <w:left w:val="nil"/>
              <w:right w:val="single" w:color="auto" w:sz="4" w:space="0"/>
            </w:tcBorders>
            <w:vAlign w:val="center"/>
          </w:tcPr>
          <w:p w14:paraId="43D5C586">
            <w:pPr>
              <w:ind w:firstLine="420" w:firstLineChars="200"/>
              <w:rPr>
                <w:rFonts w:hint="eastAsia"/>
                <w:color w:val="auto"/>
              </w:rPr>
            </w:pPr>
          </w:p>
        </w:tc>
      </w:tr>
      <w:tr w14:paraId="0F0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14:paraId="54ED8E5A">
            <w:pPr>
              <w:jc w:val="center"/>
              <w:rPr>
                <w:rFonts w:hint="eastAsia"/>
                <w:color w:val="auto"/>
              </w:rPr>
            </w:pPr>
          </w:p>
        </w:tc>
        <w:tc>
          <w:tcPr>
            <w:tcW w:w="670" w:type="dxa"/>
            <w:vMerge w:val="continue"/>
            <w:tcBorders>
              <w:left w:val="nil"/>
              <w:right w:val="single" w:color="auto" w:sz="4" w:space="0"/>
            </w:tcBorders>
            <w:vAlign w:val="center"/>
          </w:tcPr>
          <w:p w14:paraId="3E4CE104">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334D79A6">
            <w:pPr>
              <w:rPr>
                <w:rFonts w:hint="eastAsia"/>
                <w:color w:val="auto"/>
              </w:rPr>
            </w:pPr>
            <w:r>
              <w:rPr>
                <w:rFonts w:hint="eastAsia"/>
                <w:color w:val="auto"/>
              </w:rPr>
              <w:t>（4）具有履行合同所必需的设备和专业技术能力</w:t>
            </w:r>
          </w:p>
        </w:tc>
        <w:tc>
          <w:tcPr>
            <w:tcW w:w="3120" w:type="dxa"/>
            <w:vMerge w:val="continue"/>
            <w:tcBorders>
              <w:left w:val="nil"/>
              <w:right w:val="single" w:color="auto" w:sz="4" w:space="0"/>
            </w:tcBorders>
            <w:vAlign w:val="center"/>
          </w:tcPr>
          <w:p w14:paraId="5EEEF48E">
            <w:pPr>
              <w:ind w:firstLine="420" w:firstLineChars="200"/>
              <w:rPr>
                <w:rFonts w:hint="eastAsia"/>
                <w:color w:val="auto"/>
              </w:rPr>
            </w:pPr>
          </w:p>
        </w:tc>
      </w:tr>
      <w:tr w14:paraId="51A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14:paraId="609DBD0F">
            <w:pPr>
              <w:jc w:val="center"/>
              <w:rPr>
                <w:rFonts w:hint="eastAsia"/>
                <w:color w:val="auto"/>
              </w:rPr>
            </w:pPr>
          </w:p>
        </w:tc>
        <w:tc>
          <w:tcPr>
            <w:tcW w:w="670" w:type="dxa"/>
            <w:vMerge w:val="continue"/>
            <w:tcBorders>
              <w:left w:val="nil"/>
              <w:right w:val="single" w:color="auto" w:sz="4" w:space="0"/>
            </w:tcBorders>
            <w:vAlign w:val="center"/>
          </w:tcPr>
          <w:p w14:paraId="6E2F0E4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254B7FF">
            <w:pPr>
              <w:rPr>
                <w:rFonts w:hint="eastAsia"/>
                <w:color w:val="auto"/>
              </w:rPr>
            </w:pPr>
            <w:r>
              <w:rPr>
                <w:rFonts w:hint="eastAsia"/>
                <w:color w:val="auto"/>
              </w:rPr>
              <w:t>（5）参加政府采购活动三年内，在经营活动中没有重大违法记录</w:t>
            </w:r>
          </w:p>
        </w:tc>
        <w:tc>
          <w:tcPr>
            <w:tcW w:w="3120" w:type="dxa"/>
            <w:vMerge w:val="restart"/>
            <w:tcBorders>
              <w:left w:val="nil"/>
              <w:right w:val="single" w:color="auto" w:sz="4" w:space="0"/>
            </w:tcBorders>
            <w:vAlign w:val="center"/>
          </w:tcPr>
          <w:p w14:paraId="0189910C">
            <w:pPr>
              <w:rPr>
                <w:rFonts w:hint="eastAsia"/>
                <w:color w:val="auto"/>
                <w:lang w:val="zh-CN"/>
              </w:rPr>
            </w:pPr>
            <w:r>
              <w:rPr>
                <w:rFonts w:hint="eastAsia"/>
                <w:color w:val="auto"/>
                <w:lang w:val="en-US" w:eastAsia="zh-CN"/>
              </w:rPr>
              <w:t>1、</w:t>
            </w:r>
            <w:r>
              <w:rPr>
                <w:rFonts w:hint="eastAsia"/>
                <w:color w:val="auto"/>
                <w:lang w:val="zh-CN"/>
              </w:rPr>
              <w:t>未被“信用中国”网站列入失信被执行人和重大税收违法案件当事人名单、未被“中国政府采购网”网站列入政府采购严重违法失信行为记录名单（处罚期限尚未届满的）</w:t>
            </w:r>
          </w:p>
          <w:p w14:paraId="77A3389A">
            <w:pPr>
              <w:rPr>
                <w:rFonts w:hint="eastAsia"/>
                <w:color w:val="auto"/>
                <w:lang w:val="en-US" w:eastAsia="zh-CN"/>
              </w:rPr>
            </w:pPr>
            <w:r>
              <w:rPr>
                <w:rFonts w:hint="eastAsia"/>
                <w:color w:val="auto"/>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14:paraId="40C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14:paraId="19EC5E61">
            <w:pPr>
              <w:jc w:val="center"/>
              <w:rPr>
                <w:rFonts w:hint="eastAsia"/>
                <w:color w:val="auto"/>
              </w:rPr>
            </w:pPr>
          </w:p>
        </w:tc>
        <w:tc>
          <w:tcPr>
            <w:tcW w:w="670" w:type="dxa"/>
            <w:vMerge w:val="continue"/>
            <w:tcBorders>
              <w:left w:val="nil"/>
              <w:right w:val="single" w:color="auto" w:sz="4" w:space="0"/>
            </w:tcBorders>
            <w:vAlign w:val="center"/>
          </w:tcPr>
          <w:p w14:paraId="4849E22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295D50E7">
            <w:pPr>
              <w:rPr>
                <w:rFonts w:hint="eastAsia"/>
                <w:color w:val="auto"/>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14:paraId="12C1ACFA">
            <w:pPr>
              <w:rPr>
                <w:rFonts w:hint="eastAsia"/>
                <w:color w:val="auto"/>
              </w:rPr>
            </w:pPr>
          </w:p>
        </w:tc>
      </w:tr>
      <w:tr w14:paraId="1AF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14:paraId="17591269">
            <w:pPr>
              <w:jc w:val="center"/>
              <w:rPr>
                <w:rFonts w:hint="eastAsia"/>
                <w:color w:val="auto"/>
                <w:lang w:val="en-US" w:eastAsia="zh-CN"/>
              </w:rPr>
            </w:pPr>
            <w:r>
              <w:rPr>
                <w:rFonts w:hint="eastAsia"/>
                <w:color w:val="auto"/>
                <w:lang w:val="en-US" w:eastAsia="zh-CN"/>
              </w:rPr>
              <w:t>2</w:t>
            </w:r>
          </w:p>
        </w:tc>
        <w:tc>
          <w:tcPr>
            <w:tcW w:w="670" w:type="dxa"/>
            <w:vMerge w:val="continue"/>
            <w:tcBorders>
              <w:left w:val="nil"/>
              <w:right w:val="single" w:color="auto" w:sz="4" w:space="0"/>
            </w:tcBorders>
            <w:vAlign w:val="center"/>
          </w:tcPr>
          <w:p w14:paraId="1D8AB9B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14:paraId="78BB700D">
            <w:pPr>
              <w:rPr>
                <w:rFonts w:hint="eastAsia"/>
                <w:color w:val="auto"/>
              </w:rPr>
            </w:pPr>
            <w:r>
              <w:rPr>
                <w:rFonts w:hint="eastAsia"/>
                <w:color w:val="auto"/>
              </w:rPr>
              <w:t>（</w:t>
            </w:r>
            <w:r>
              <w:rPr>
                <w:rFonts w:hint="eastAsia"/>
                <w:color w:val="auto"/>
                <w:lang w:val="en-US" w:eastAsia="zh-CN"/>
              </w:rPr>
              <w:t>7</w:t>
            </w:r>
            <w:r>
              <w:rPr>
                <w:rFonts w:hint="eastAsia"/>
                <w:color w:val="auto"/>
              </w:rPr>
              <w:t>）所需特定资质条件</w:t>
            </w:r>
          </w:p>
        </w:tc>
        <w:tc>
          <w:tcPr>
            <w:tcW w:w="3120" w:type="dxa"/>
            <w:tcBorders>
              <w:top w:val="single" w:color="auto" w:sz="4" w:space="0"/>
              <w:left w:val="nil"/>
              <w:bottom w:val="single" w:color="auto" w:sz="4" w:space="0"/>
              <w:right w:val="single" w:color="auto" w:sz="4" w:space="0"/>
            </w:tcBorders>
            <w:vAlign w:val="center"/>
          </w:tcPr>
          <w:p w14:paraId="76E663F0">
            <w:pPr>
              <w:rPr>
                <w:rFonts w:hint="eastAsia"/>
                <w:color w:val="auto"/>
              </w:rPr>
            </w:pPr>
            <w:r>
              <w:rPr>
                <w:rFonts w:hint="eastAsia"/>
                <w:color w:val="auto"/>
              </w:rPr>
              <w:t>证明材料的复印件（加盖公章）。</w:t>
            </w:r>
          </w:p>
        </w:tc>
      </w:tr>
      <w:tr w14:paraId="6F3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14:paraId="3AB2DE81">
            <w:pPr>
              <w:jc w:val="center"/>
              <w:rPr>
                <w:rFonts w:hint="eastAsia"/>
                <w:color w:val="auto"/>
                <w:lang w:eastAsia="zh-CN"/>
              </w:rPr>
            </w:pPr>
            <w:r>
              <w:rPr>
                <w:rFonts w:hint="eastAsia"/>
                <w:color w:val="auto"/>
                <w:lang w:val="en-US" w:eastAsia="zh-CN"/>
              </w:rPr>
              <w:t>3</w:t>
            </w:r>
          </w:p>
        </w:tc>
        <w:tc>
          <w:tcPr>
            <w:tcW w:w="670" w:type="dxa"/>
            <w:vMerge w:val="continue"/>
            <w:tcBorders>
              <w:left w:val="nil"/>
              <w:bottom w:val="single" w:color="auto" w:sz="4" w:space="0"/>
              <w:right w:val="single" w:color="auto" w:sz="4" w:space="0"/>
            </w:tcBorders>
            <w:vAlign w:val="center"/>
          </w:tcPr>
          <w:p w14:paraId="077BDFED">
            <w:pPr>
              <w:jc w:val="center"/>
              <w:rPr>
                <w:rFonts w:hint="eastAsia"/>
                <w:color w:val="auto"/>
              </w:rPr>
            </w:pPr>
          </w:p>
        </w:tc>
        <w:tc>
          <w:tcPr>
            <w:tcW w:w="4355" w:type="dxa"/>
            <w:tcBorders>
              <w:top w:val="single" w:color="auto" w:sz="4" w:space="0"/>
              <w:left w:val="single" w:color="auto" w:sz="4" w:space="0"/>
              <w:bottom w:val="single" w:color="auto" w:sz="4" w:space="0"/>
              <w:right w:val="single" w:color="auto" w:sz="4" w:space="0"/>
            </w:tcBorders>
            <w:vAlign w:val="center"/>
          </w:tcPr>
          <w:p w14:paraId="2876C7D6">
            <w:pPr>
              <w:jc w:val="left"/>
              <w:rPr>
                <w:rFonts w:hint="eastAsia"/>
                <w:color w:val="auto"/>
              </w:rPr>
            </w:pPr>
            <w:r>
              <w:rPr>
                <w:rFonts w:hint="eastAsia"/>
                <w:color w:val="auto"/>
                <w:lang w:eastAsia="zh-CN"/>
              </w:rPr>
              <w:t>（</w:t>
            </w:r>
            <w:r>
              <w:rPr>
                <w:rFonts w:hint="eastAsia"/>
                <w:color w:val="auto"/>
                <w:lang w:val="en-US" w:eastAsia="zh-CN"/>
              </w:rPr>
              <w:t>8</w:t>
            </w:r>
            <w:r>
              <w:rPr>
                <w:rFonts w:hint="eastAsia"/>
                <w:color w:val="auto"/>
                <w:lang w:eastAsia="zh-CN"/>
              </w:rPr>
              <w:t>）</w:t>
            </w:r>
            <w:r>
              <w:rPr>
                <w:rFonts w:hint="eastAsia"/>
                <w:color w:val="auto"/>
              </w:rPr>
              <w:t>投标保证金</w:t>
            </w:r>
          </w:p>
        </w:tc>
        <w:tc>
          <w:tcPr>
            <w:tcW w:w="3120" w:type="dxa"/>
            <w:tcBorders>
              <w:top w:val="single" w:color="auto" w:sz="4" w:space="0"/>
              <w:left w:val="nil"/>
              <w:bottom w:val="single" w:color="auto" w:sz="4" w:space="0"/>
              <w:right w:val="single" w:color="auto" w:sz="4" w:space="0"/>
            </w:tcBorders>
            <w:vAlign w:val="center"/>
          </w:tcPr>
          <w:p w14:paraId="7DE7B665">
            <w:pPr>
              <w:jc w:val="both"/>
              <w:rPr>
                <w:rFonts w:hint="eastAsia"/>
                <w:color w:val="auto"/>
              </w:rPr>
            </w:pPr>
            <w:r>
              <w:rPr>
                <w:rFonts w:hint="eastAsia"/>
                <w:b/>
                <w:bCs/>
                <w:color w:val="auto"/>
                <w:lang w:val="en-US" w:eastAsia="zh-CN"/>
              </w:rPr>
              <w:t>不收取</w:t>
            </w:r>
            <w:r>
              <w:rPr>
                <w:rFonts w:hint="eastAsia"/>
                <w:color w:val="auto"/>
                <w:lang w:val="en-US" w:eastAsia="zh-CN"/>
              </w:rPr>
              <w:t>投标保证金</w:t>
            </w:r>
          </w:p>
        </w:tc>
      </w:tr>
    </w:tbl>
    <w:p w14:paraId="4B66C26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20"/>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747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14:paraId="23E4E565">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70E8BF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62FC3B2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581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35B763E">
            <w:pPr>
              <w:jc w:val="center"/>
              <w:rPr>
                <w:rFonts w:hint="eastAsia"/>
                <w:color w:val="auto"/>
              </w:rPr>
            </w:pPr>
            <w:r>
              <w:rPr>
                <w:rFonts w:hint="eastAsia"/>
                <w:color w:val="auto"/>
              </w:rPr>
              <w:t>1</w:t>
            </w:r>
          </w:p>
        </w:tc>
        <w:tc>
          <w:tcPr>
            <w:tcW w:w="1065" w:type="dxa"/>
            <w:vMerge w:val="restart"/>
            <w:tcBorders>
              <w:top w:val="nil"/>
              <w:left w:val="nil"/>
              <w:bottom w:val="single" w:color="auto" w:sz="4" w:space="0"/>
              <w:right w:val="single" w:color="auto" w:sz="4" w:space="0"/>
            </w:tcBorders>
            <w:vAlign w:val="center"/>
          </w:tcPr>
          <w:p w14:paraId="56555570">
            <w:pPr>
              <w:jc w:val="center"/>
              <w:rPr>
                <w:rFonts w:hint="eastAsia"/>
                <w:color w:val="auto"/>
              </w:rPr>
            </w:pPr>
            <w:r>
              <w:rPr>
                <w:rFonts w:hint="eastAsia"/>
                <w:color w:val="auto"/>
              </w:rPr>
              <w:t>有</w:t>
            </w:r>
          </w:p>
          <w:p w14:paraId="080215B3">
            <w:pPr>
              <w:jc w:val="center"/>
              <w:rPr>
                <w:rFonts w:hint="eastAsia"/>
                <w:color w:val="auto"/>
              </w:rPr>
            </w:pPr>
            <w:r>
              <w:rPr>
                <w:rFonts w:hint="eastAsia"/>
                <w:color w:val="auto"/>
              </w:rPr>
              <w:t>效</w:t>
            </w:r>
          </w:p>
          <w:p w14:paraId="173FEFCE">
            <w:pPr>
              <w:jc w:val="center"/>
              <w:rPr>
                <w:rFonts w:hint="eastAsia"/>
                <w:color w:val="auto"/>
              </w:rPr>
            </w:pPr>
            <w:r>
              <w:rPr>
                <w:rFonts w:hint="eastAsia"/>
                <w:color w:val="auto"/>
              </w:rPr>
              <w:t>性</w:t>
            </w:r>
          </w:p>
          <w:p w14:paraId="4C3A6A55">
            <w:pPr>
              <w:jc w:val="center"/>
              <w:rPr>
                <w:rFonts w:hint="eastAsia"/>
                <w:color w:val="auto"/>
              </w:rPr>
            </w:pPr>
            <w:r>
              <w:rPr>
                <w:rFonts w:hint="eastAsia"/>
                <w:color w:val="auto"/>
              </w:rPr>
              <w:t>审</w:t>
            </w:r>
          </w:p>
          <w:p w14:paraId="15C3AC47">
            <w:pPr>
              <w:jc w:val="center"/>
              <w:rPr>
                <w:rFonts w:hint="eastAsia"/>
                <w:color w:val="auto"/>
              </w:rPr>
            </w:pPr>
            <w:r>
              <w:rPr>
                <w:rFonts w:hint="eastAsia"/>
                <w:color w:val="auto"/>
              </w:rPr>
              <w:t>查</w:t>
            </w:r>
          </w:p>
        </w:tc>
        <w:tc>
          <w:tcPr>
            <w:tcW w:w="1830" w:type="dxa"/>
            <w:tcBorders>
              <w:top w:val="single" w:color="auto" w:sz="4" w:space="0"/>
              <w:left w:val="nil"/>
              <w:bottom w:val="single" w:color="auto" w:sz="4" w:space="0"/>
              <w:right w:val="single" w:color="auto" w:sz="4" w:space="0"/>
            </w:tcBorders>
            <w:vAlign w:val="center"/>
          </w:tcPr>
          <w:p w14:paraId="3BBD02CD">
            <w:pPr>
              <w:rPr>
                <w:rFonts w:hint="eastAsia"/>
                <w:color w:val="auto"/>
              </w:rPr>
            </w:pPr>
            <w:r>
              <w:rPr>
                <w:rFonts w:hint="eastAsia"/>
                <w:color w:val="auto"/>
                <w:lang w:eastAsia="zh-CN"/>
              </w:rPr>
              <w:t>响应</w:t>
            </w:r>
            <w:r>
              <w:rPr>
                <w:rFonts w:hint="eastAsia"/>
                <w:color w:val="auto"/>
              </w:rPr>
              <w:t>文件签署</w:t>
            </w:r>
          </w:p>
        </w:tc>
        <w:tc>
          <w:tcPr>
            <w:tcW w:w="5370" w:type="dxa"/>
            <w:tcBorders>
              <w:top w:val="single" w:color="auto" w:sz="4" w:space="0"/>
              <w:left w:val="nil"/>
              <w:bottom w:val="single" w:color="auto" w:sz="4" w:space="0"/>
              <w:right w:val="single" w:color="auto" w:sz="4" w:space="0"/>
            </w:tcBorders>
            <w:vAlign w:val="center"/>
          </w:tcPr>
          <w:p w14:paraId="5BDC1B65">
            <w:pPr>
              <w:rPr>
                <w:rFonts w:hint="eastAsia"/>
                <w:color w:val="auto"/>
              </w:rPr>
            </w:pPr>
            <w:r>
              <w:rPr>
                <w:rFonts w:hint="eastAsia"/>
                <w:color w:val="auto"/>
                <w:lang w:eastAsia="zh-CN"/>
              </w:rPr>
              <w:t>响应</w:t>
            </w:r>
            <w:r>
              <w:rPr>
                <w:rFonts w:hint="eastAsia"/>
                <w:color w:val="auto"/>
              </w:rPr>
              <w:t>文件上法定代表人或其授权代表人的签字齐全。</w:t>
            </w:r>
          </w:p>
        </w:tc>
      </w:tr>
      <w:tr w14:paraId="0F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1290ECE1">
            <w:pPr>
              <w:jc w:val="center"/>
              <w:rPr>
                <w:rFonts w:hint="eastAsia"/>
                <w:color w:val="auto"/>
              </w:rPr>
            </w:pPr>
          </w:p>
        </w:tc>
        <w:tc>
          <w:tcPr>
            <w:tcW w:w="1065" w:type="dxa"/>
            <w:vMerge w:val="continue"/>
            <w:tcBorders>
              <w:top w:val="nil"/>
              <w:left w:val="nil"/>
              <w:bottom w:val="single" w:color="auto" w:sz="4" w:space="0"/>
              <w:right w:val="single" w:color="auto" w:sz="4" w:space="0"/>
            </w:tcBorders>
            <w:vAlign w:val="center"/>
          </w:tcPr>
          <w:p w14:paraId="1A455721">
            <w:pPr>
              <w:jc w:val="center"/>
              <w:rPr>
                <w:rFonts w:hint="eastAsia"/>
                <w:color w:val="auto"/>
              </w:rPr>
            </w:pPr>
          </w:p>
        </w:tc>
        <w:tc>
          <w:tcPr>
            <w:tcW w:w="1830" w:type="dxa"/>
            <w:tcBorders>
              <w:top w:val="single" w:color="auto" w:sz="4" w:space="0"/>
              <w:left w:val="nil"/>
              <w:bottom w:val="single" w:color="auto" w:sz="4" w:space="0"/>
              <w:right w:val="single" w:color="auto" w:sz="4" w:space="0"/>
            </w:tcBorders>
            <w:vAlign w:val="center"/>
          </w:tcPr>
          <w:p w14:paraId="264FF865">
            <w:pPr>
              <w:rPr>
                <w:rFonts w:hint="eastAsia"/>
                <w:color w:val="auto"/>
              </w:rPr>
            </w:pPr>
            <w:r>
              <w:rPr>
                <w:rFonts w:hint="eastAsia"/>
                <w:color w:val="auto"/>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394CD26F">
            <w:pPr>
              <w:rPr>
                <w:rFonts w:hint="eastAsia"/>
                <w:color w:val="auto"/>
              </w:rPr>
            </w:pPr>
            <w:r>
              <w:rPr>
                <w:rFonts w:hint="eastAsia"/>
                <w:color w:val="auto"/>
              </w:rPr>
              <w:t>法定代表人身份证明及授权委托书有效，符合</w:t>
            </w:r>
            <w:r>
              <w:rPr>
                <w:rFonts w:hint="eastAsia"/>
                <w:color w:val="auto"/>
                <w:lang w:eastAsia="zh-CN"/>
              </w:rPr>
              <w:t>遴选</w:t>
            </w:r>
            <w:r>
              <w:rPr>
                <w:rFonts w:hint="eastAsia"/>
                <w:color w:val="auto"/>
              </w:rPr>
              <w:t>文件规定的格式且签章齐全。</w:t>
            </w:r>
          </w:p>
        </w:tc>
      </w:tr>
      <w:tr w14:paraId="7D1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CFEAFD4">
            <w:pPr>
              <w:jc w:val="center"/>
              <w:rPr>
                <w:rFonts w:hint="eastAsia"/>
                <w:color w:val="auto"/>
              </w:rPr>
            </w:pPr>
          </w:p>
        </w:tc>
        <w:tc>
          <w:tcPr>
            <w:tcW w:w="1065" w:type="dxa"/>
            <w:vMerge w:val="continue"/>
            <w:tcBorders>
              <w:top w:val="nil"/>
              <w:left w:val="nil"/>
              <w:bottom w:val="single" w:color="auto" w:sz="4" w:space="0"/>
              <w:right w:val="single" w:color="auto" w:sz="4" w:space="0"/>
            </w:tcBorders>
            <w:vAlign w:val="center"/>
          </w:tcPr>
          <w:p w14:paraId="140BD748">
            <w:pPr>
              <w:jc w:val="center"/>
              <w:rPr>
                <w:rFonts w:hint="eastAsia"/>
                <w:color w:val="auto"/>
              </w:rPr>
            </w:pPr>
          </w:p>
        </w:tc>
        <w:tc>
          <w:tcPr>
            <w:tcW w:w="1830" w:type="dxa"/>
            <w:tcBorders>
              <w:top w:val="single" w:color="auto" w:sz="4" w:space="0"/>
              <w:left w:val="nil"/>
              <w:bottom w:val="single" w:color="auto" w:sz="4" w:space="0"/>
              <w:right w:val="single" w:color="auto" w:sz="4" w:space="0"/>
            </w:tcBorders>
            <w:vAlign w:val="center"/>
          </w:tcPr>
          <w:p w14:paraId="0B696AE3">
            <w:pPr>
              <w:rPr>
                <w:rFonts w:hint="eastAsia"/>
                <w:color w:val="auto"/>
              </w:rPr>
            </w:pPr>
            <w:r>
              <w:rPr>
                <w:rFonts w:hint="eastAsia"/>
                <w:color w:val="auto"/>
              </w:rPr>
              <w:t>投标方案</w:t>
            </w:r>
          </w:p>
        </w:tc>
        <w:tc>
          <w:tcPr>
            <w:tcW w:w="5370" w:type="dxa"/>
            <w:tcBorders>
              <w:top w:val="single" w:color="auto" w:sz="4" w:space="0"/>
              <w:left w:val="nil"/>
              <w:bottom w:val="single" w:color="auto" w:sz="4" w:space="0"/>
              <w:right w:val="single" w:color="auto" w:sz="4" w:space="0"/>
            </w:tcBorders>
            <w:vAlign w:val="center"/>
          </w:tcPr>
          <w:p w14:paraId="492B20DA">
            <w:pPr>
              <w:rPr>
                <w:rFonts w:hint="eastAsia"/>
                <w:color w:val="auto"/>
              </w:rPr>
            </w:pPr>
            <w:r>
              <w:rPr>
                <w:rFonts w:hint="eastAsia"/>
                <w:color w:val="auto"/>
              </w:rPr>
              <w:t>只能有一个方案投标。</w:t>
            </w:r>
          </w:p>
        </w:tc>
      </w:tr>
      <w:tr w14:paraId="335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915B6E2">
            <w:pPr>
              <w:jc w:val="center"/>
              <w:rPr>
                <w:rFonts w:hint="eastAsia"/>
                <w:color w:val="auto"/>
              </w:rPr>
            </w:pPr>
          </w:p>
        </w:tc>
        <w:tc>
          <w:tcPr>
            <w:tcW w:w="1065" w:type="dxa"/>
            <w:vMerge w:val="continue"/>
            <w:tcBorders>
              <w:top w:val="nil"/>
              <w:left w:val="nil"/>
              <w:bottom w:val="single" w:color="auto" w:sz="4" w:space="0"/>
              <w:right w:val="single" w:color="auto" w:sz="4" w:space="0"/>
            </w:tcBorders>
            <w:vAlign w:val="center"/>
          </w:tcPr>
          <w:p w14:paraId="728FA737">
            <w:pPr>
              <w:jc w:val="center"/>
              <w:rPr>
                <w:rFonts w:hint="eastAsia"/>
                <w:color w:val="auto"/>
              </w:rPr>
            </w:pPr>
          </w:p>
        </w:tc>
        <w:tc>
          <w:tcPr>
            <w:tcW w:w="1830" w:type="dxa"/>
            <w:tcBorders>
              <w:top w:val="single" w:color="auto" w:sz="4" w:space="0"/>
              <w:left w:val="nil"/>
              <w:bottom w:val="single" w:color="auto" w:sz="4" w:space="0"/>
              <w:right w:val="single" w:color="auto" w:sz="4" w:space="0"/>
            </w:tcBorders>
            <w:vAlign w:val="center"/>
          </w:tcPr>
          <w:p w14:paraId="75557EB7">
            <w:pPr>
              <w:rPr>
                <w:rFonts w:hint="eastAsia"/>
                <w:color w:val="auto"/>
              </w:rPr>
            </w:pPr>
            <w:r>
              <w:rPr>
                <w:rFonts w:hint="eastAsia"/>
                <w:color w:val="auto"/>
              </w:rPr>
              <w:t>报价唯一</w:t>
            </w:r>
          </w:p>
        </w:tc>
        <w:tc>
          <w:tcPr>
            <w:tcW w:w="5370" w:type="dxa"/>
            <w:tcBorders>
              <w:top w:val="single" w:color="auto" w:sz="4" w:space="0"/>
              <w:left w:val="nil"/>
              <w:bottom w:val="single" w:color="auto" w:sz="4" w:space="0"/>
              <w:right w:val="single" w:color="auto" w:sz="4" w:space="0"/>
            </w:tcBorders>
            <w:vAlign w:val="center"/>
          </w:tcPr>
          <w:p w14:paraId="1C44628B">
            <w:pPr>
              <w:rPr>
                <w:rFonts w:hint="eastAsia"/>
                <w:color w:val="auto"/>
              </w:rPr>
            </w:pPr>
            <w:r>
              <w:rPr>
                <w:rFonts w:hint="eastAsia"/>
                <w:color w:val="auto"/>
              </w:rPr>
              <w:t>只能在限价范围内报价，只能有一个有效报价，不得提交选择性报价。</w:t>
            </w:r>
          </w:p>
        </w:tc>
      </w:tr>
      <w:tr w14:paraId="5772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BA40F28">
            <w:pPr>
              <w:jc w:val="center"/>
              <w:rPr>
                <w:rFonts w:hint="eastAsia"/>
                <w:color w:val="auto"/>
              </w:rPr>
            </w:pPr>
            <w:r>
              <w:rPr>
                <w:rFonts w:hint="eastAsia"/>
                <w:color w:val="auto"/>
              </w:rPr>
              <w:t>2</w:t>
            </w:r>
          </w:p>
        </w:tc>
        <w:tc>
          <w:tcPr>
            <w:tcW w:w="1065" w:type="dxa"/>
            <w:vMerge w:val="restart"/>
            <w:tcBorders>
              <w:top w:val="single" w:color="auto" w:sz="4" w:space="0"/>
              <w:left w:val="nil"/>
              <w:bottom w:val="single" w:color="auto" w:sz="4" w:space="0"/>
              <w:right w:val="single" w:color="auto" w:sz="4" w:space="0"/>
            </w:tcBorders>
            <w:vAlign w:val="center"/>
          </w:tcPr>
          <w:p w14:paraId="2D60C738">
            <w:pPr>
              <w:jc w:val="center"/>
              <w:rPr>
                <w:rFonts w:hint="eastAsia"/>
                <w:color w:val="auto"/>
                <w:lang w:val="en-US" w:eastAsia="zh-CN"/>
              </w:rPr>
            </w:pPr>
            <w:r>
              <w:rPr>
                <w:rFonts w:hint="eastAsia"/>
                <w:color w:val="auto"/>
                <w:lang w:val="en-US" w:eastAsia="zh-CN"/>
              </w:rPr>
              <w:t>完</w:t>
            </w:r>
          </w:p>
          <w:p w14:paraId="7B82C574">
            <w:pPr>
              <w:jc w:val="center"/>
              <w:rPr>
                <w:rFonts w:hint="eastAsia"/>
                <w:color w:val="auto"/>
                <w:lang w:val="en-US" w:eastAsia="zh-CN"/>
              </w:rPr>
            </w:pPr>
            <w:r>
              <w:rPr>
                <w:rFonts w:hint="eastAsia"/>
                <w:color w:val="auto"/>
                <w:lang w:val="en-US" w:eastAsia="zh-CN"/>
              </w:rPr>
              <w:t>整</w:t>
            </w:r>
          </w:p>
          <w:p w14:paraId="64999158">
            <w:pPr>
              <w:jc w:val="center"/>
              <w:rPr>
                <w:rFonts w:hint="eastAsia"/>
                <w:color w:val="auto"/>
              </w:rPr>
            </w:pPr>
            <w:r>
              <w:rPr>
                <w:rFonts w:hint="eastAsia"/>
                <w:color w:val="auto"/>
              </w:rPr>
              <w:t>性</w:t>
            </w:r>
          </w:p>
          <w:p w14:paraId="6F31D00A">
            <w:pPr>
              <w:jc w:val="center"/>
              <w:rPr>
                <w:rFonts w:hint="eastAsia"/>
                <w:color w:val="auto"/>
              </w:rPr>
            </w:pPr>
            <w:r>
              <w:rPr>
                <w:rFonts w:hint="eastAsia"/>
                <w:color w:val="auto"/>
              </w:rPr>
              <w:t>审</w:t>
            </w:r>
          </w:p>
          <w:p w14:paraId="77EC491A">
            <w:pPr>
              <w:jc w:val="center"/>
              <w:rPr>
                <w:rFonts w:hint="eastAsia"/>
                <w:color w:val="auto"/>
              </w:rPr>
            </w:pPr>
            <w:r>
              <w:rPr>
                <w:rFonts w:hint="eastAsia"/>
                <w:color w:val="auto"/>
              </w:rPr>
              <w:t>查</w:t>
            </w:r>
          </w:p>
        </w:tc>
        <w:tc>
          <w:tcPr>
            <w:tcW w:w="1830" w:type="dxa"/>
            <w:tcBorders>
              <w:top w:val="single" w:color="auto" w:sz="4" w:space="0"/>
              <w:left w:val="nil"/>
              <w:bottom w:val="single" w:color="auto" w:sz="4" w:space="0"/>
              <w:right w:val="single" w:color="auto" w:sz="4" w:space="0"/>
            </w:tcBorders>
            <w:vAlign w:val="center"/>
          </w:tcPr>
          <w:p w14:paraId="68BF9046">
            <w:pPr>
              <w:rPr>
                <w:rFonts w:hint="eastAsia"/>
                <w:color w:val="auto"/>
              </w:rPr>
            </w:pPr>
            <w:r>
              <w:rPr>
                <w:rFonts w:hint="eastAsia"/>
                <w:color w:val="auto"/>
                <w:lang w:eastAsia="zh-CN"/>
              </w:rPr>
              <w:t>响应</w:t>
            </w:r>
            <w:r>
              <w:rPr>
                <w:rFonts w:hint="eastAsia"/>
                <w:color w:val="auto"/>
              </w:rPr>
              <w:t>文件份数</w:t>
            </w:r>
          </w:p>
        </w:tc>
        <w:tc>
          <w:tcPr>
            <w:tcW w:w="5370" w:type="dxa"/>
            <w:tcBorders>
              <w:top w:val="single" w:color="auto" w:sz="4" w:space="0"/>
              <w:left w:val="nil"/>
              <w:bottom w:val="single" w:color="auto" w:sz="4" w:space="0"/>
              <w:right w:val="single" w:color="auto" w:sz="4" w:space="0"/>
            </w:tcBorders>
            <w:vAlign w:val="center"/>
          </w:tcPr>
          <w:p w14:paraId="4C7CC89C">
            <w:pPr>
              <w:rPr>
                <w:rFonts w:hint="eastAsia"/>
                <w:color w:val="auto"/>
              </w:rPr>
            </w:pPr>
            <w:r>
              <w:rPr>
                <w:rFonts w:hint="eastAsia"/>
                <w:color w:val="auto"/>
                <w:lang w:eastAsia="zh-CN"/>
              </w:rPr>
              <w:t>响应</w:t>
            </w:r>
            <w:r>
              <w:rPr>
                <w:rFonts w:hint="eastAsia"/>
                <w:color w:val="auto"/>
              </w:rPr>
              <w:t>文件正本、副本数量符合</w:t>
            </w:r>
            <w:r>
              <w:rPr>
                <w:rFonts w:hint="eastAsia"/>
                <w:color w:val="auto"/>
                <w:lang w:eastAsia="zh-CN"/>
              </w:rPr>
              <w:t>遴选</w:t>
            </w:r>
            <w:r>
              <w:rPr>
                <w:rFonts w:hint="eastAsia"/>
                <w:color w:val="auto"/>
              </w:rPr>
              <w:t>文件要求。</w:t>
            </w:r>
          </w:p>
        </w:tc>
      </w:tr>
      <w:tr w14:paraId="4B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0B54A265">
            <w:pPr>
              <w:jc w:val="center"/>
              <w:rPr>
                <w:rFonts w:hint="eastAsia"/>
                <w:color w:val="auto"/>
              </w:rPr>
            </w:pPr>
          </w:p>
        </w:tc>
        <w:tc>
          <w:tcPr>
            <w:tcW w:w="1065" w:type="dxa"/>
            <w:vMerge w:val="continue"/>
            <w:tcBorders>
              <w:left w:val="nil"/>
              <w:right w:val="single" w:color="auto" w:sz="4" w:space="0"/>
            </w:tcBorders>
            <w:vAlign w:val="top"/>
          </w:tcPr>
          <w:p w14:paraId="42696FA5">
            <w:pPr>
              <w:rPr>
                <w:rFonts w:hint="eastAsia"/>
                <w:color w:val="auto"/>
                <w:lang w:val="en-US" w:eastAsia="zh-CN"/>
              </w:rPr>
            </w:pPr>
          </w:p>
        </w:tc>
        <w:tc>
          <w:tcPr>
            <w:tcW w:w="1830" w:type="dxa"/>
            <w:vMerge w:val="restart"/>
            <w:tcBorders>
              <w:top w:val="single" w:color="auto" w:sz="4" w:space="0"/>
              <w:left w:val="nil"/>
              <w:right w:val="single" w:color="auto" w:sz="4" w:space="0"/>
            </w:tcBorders>
            <w:vAlign w:val="center"/>
          </w:tcPr>
          <w:p w14:paraId="6886067A">
            <w:pPr>
              <w:rPr>
                <w:rFonts w:hint="default"/>
                <w:color w:val="auto"/>
                <w:lang w:val="en-US" w:eastAsia="zh-CN"/>
              </w:rPr>
            </w:pPr>
            <w:r>
              <w:rPr>
                <w:rFonts w:hint="eastAsia"/>
                <w:color w:val="auto"/>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14:paraId="79A59362">
            <w:pPr>
              <w:rPr>
                <w:rFonts w:hint="eastAsia"/>
                <w:color w:val="auto"/>
                <w:lang w:eastAsia="zh-CN"/>
              </w:rPr>
            </w:pPr>
            <w:r>
              <w:rPr>
                <w:rFonts w:hint="eastAsia"/>
                <w:color w:val="auto"/>
              </w:rPr>
              <w:t>对</w:t>
            </w:r>
            <w:r>
              <w:rPr>
                <w:rFonts w:hint="eastAsia"/>
                <w:color w:val="auto"/>
                <w:lang w:val="en-US" w:eastAsia="zh-CN"/>
              </w:rPr>
              <w:t>遴选</w:t>
            </w:r>
            <w:r>
              <w:rPr>
                <w:rFonts w:hint="eastAsia"/>
                <w:color w:val="auto"/>
              </w:rPr>
              <w:t>文件实质性条款及★条款响应程度</w:t>
            </w:r>
          </w:p>
        </w:tc>
      </w:tr>
      <w:tr w14:paraId="37E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5BA03E49">
            <w:pPr>
              <w:jc w:val="center"/>
              <w:rPr>
                <w:rFonts w:hint="eastAsia"/>
                <w:color w:val="auto"/>
              </w:rPr>
            </w:pPr>
          </w:p>
        </w:tc>
        <w:tc>
          <w:tcPr>
            <w:tcW w:w="1065" w:type="dxa"/>
            <w:vMerge w:val="continue"/>
            <w:tcBorders>
              <w:left w:val="nil"/>
              <w:right w:val="single" w:color="auto" w:sz="4" w:space="0"/>
            </w:tcBorders>
            <w:vAlign w:val="top"/>
          </w:tcPr>
          <w:p w14:paraId="6756000B">
            <w:pPr>
              <w:rPr>
                <w:rFonts w:hint="eastAsia"/>
                <w:color w:val="auto"/>
                <w:lang w:val="en-US" w:eastAsia="zh-CN"/>
              </w:rPr>
            </w:pPr>
          </w:p>
        </w:tc>
        <w:tc>
          <w:tcPr>
            <w:tcW w:w="1830" w:type="dxa"/>
            <w:vMerge w:val="continue"/>
            <w:tcBorders>
              <w:left w:val="nil"/>
              <w:bottom w:val="single" w:color="auto" w:sz="4" w:space="0"/>
              <w:right w:val="single" w:color="auto" w:sz="4" w:space="0"/>
            </w:tcBorders>
            <w:vAlign w:val="center"/>
          </w:tcPr>
          <w:p w14:paraId="512094F3">
            <w:pPr>
              <w:rPr>
                <w:rFonts w:hint="eastAsia"/>
                <w:color w:val="auto"/>
                <w:lang w:eastAsia="zh-CN"/>
              </w:rPr>
            </w:pPr>
          </w:p>
        </w:tc>
        <w:tc>
          <w:tcPr>
            <w:tcW w:w="5370" w:type="dxa"/>
            <w:tcBorders>
              <w:top w:val="single" w:color="auto" w:sz="4" w:space="0"/>
              <w:left w:val="nil"/>
              <w:bottom w:val="single" w:color="auto" w:sz="4" w:space="0"/>
              <w:right w:val="single" w:color="auto" w:sz="4" w:space="0"/>
            </w:tcBorders>
            <w:vAlign w:val="center"/>
          </w:tcPr>
          <w:p w14:paraId="0299C1D3">
            <w:pPr>
              <w:rPr>
                <w:rFonts w:hint="eastAsia"/>
                <w:color w:val="auto"/>
                <w:lang w:eastAsia="zh-CN"/>
              </w:rPr>
            </w:pPr>
            <w:r>
              <w:rPr>
                <w:rFonts w:hint="eastAsia"/>
                <w:color w:val="auto"/>
              </w:rPr>
              <w:t>其他实质性条款及★条款</w:t>
            </w:r>
          </w:p>
        </w:tc>
      </w:tr>
      <w:tr w14:paraId="3A7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BF8AE41">
            <w:pPr>
              <w:jc w:val="center"/>
              <w:rPr>
                <w:rFonts w:hint="eastAsia"/>
                <w:color w:val="auto"/>
              </w:rPr>
            </w:pPr>
          </w:p>
        </w:tc>
        <w:tc>
          <w:tcPr>
            <w:tcW w:w="1065" w:type="dxa"/>
            <w:vMerge w:val="continue"/>
            <w:tcBorders>
              <w:top w:val="nil"/>
              <w:left w:val="nil"/>
              <w:bottom w:val="single" w:color="auto" w:sz="4" w:space="0"/>
              <w:right w:val="single" w:color="auto" w:sz="4" w:space="0"/>
            </w:tcBorders>
            <w:vAlign w:val="top"/>
          </w:tcPr>
          <w:p w14:paraId="4C954863">
            <w:pPr>
              <w:rPr>
                <w:rFonts w:hint="eastAsia"/>
                <w:color w:val="auto"/>
              </w:rPr>
            </w:pPr>
          </w:p>
        </w:tc>
        <w:tc>
          <w:tcPr>
            <w:tcW w:w="1830" w:type="dxa"/>
            <w:tcBorders>
              <w:top w:val="single" w:color="auto" w:sz="4" w:space="0"/>
              <w:left w:val="nil"/>
              <w:bottom w:val="single" w:color="auto" w:sz="4" w:space="0"/>
              <w:right w:val="single" w:color="auto" w:sz="4" w:space="0"/>
            </w:tcBorders>
            <w:vAlign w:val="center"/>
          </w:tcPr>
          <w:p w14:paraId="61D393E7">
            <w:pPr>
              <w:rPr>
                <w:rFonts w:hint="eastAsia"/>
                <w:color w:val="auto"/>
              </w:rPr>
            </w:pPr>
            <w:r>
              <w:rPr>
                <w:rFonts w:hint="eastAsia"/>
                <w:color w:val="auto"/>
                <w:lang w:eastAsia="zh-CN"/>
              </w:rPr>
              <w:t>响应</w:t>
            </w:r>
            <w:r>
              <w:rPr>
                <w:rFonts w:hint="eastAsia"/>
                <w:color w:val="auto"/>
              </w:rPr>
              <w:t>文件内容</w:t>
            </w:r>
          </w:p>
        </w:tc>
        <w:tc>
          <w:tcPr>
            <w:tcW w:w="5370" w:type="dxa"/>
            <w:tcBorders>
              <w:top w:val="single" w:color="auto" w:sz="4" w:space="0"/>
              <w:left w:val="nil"/>
              <w:bottom w:val="single" w:color="auto" w:sz="4" w:space="0"/>
              <w:right w:val="single" w:color="auto" w:sz="4" w:space="0"/>
            </w:tcBorders>
            <w:vAlign w:val="center"/>
          </w:tcPr>
          <w:p w14:paraId="150E60E9">
            <w:pPr>
              <w:rPr>
                <w:rFonts w:hint="eastAsia"/>
                <w:color w:val="auto"/>
              </w:rPr>
            </w:pPr>
            <w:r>
              <w:rPr>
                <w:rFonts w:hint="eastAsia"/>
                <w:color w:val="auto"/>
                <w:lang w:eastAsia="zh-CN"/>
              </w:rPr>
              <w:t>响应</w:t>
            </w:r>
            <w:r>
              <w:rPr>
                <w:rFonts w:hint="eastAsia"/>
                <w:color w:val="auto"/>
              </w:rPr>
              <w:t>文件内容齐全、无遗漏。</w:t>
            </w:r>
          </w:p>
        </w:tc>
      </w:tr>
      <w:tr w14:paraId="038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3D0A7F34">
            <w:pPr>
              <w:jc w:val="center"/>
              <w:rPr>
                <w:rFonts w:hint="eastAsia"/>
                <w:color w:val="auto"/>
              </w:rPr>
            </w:pPr>
            <w:r>
              <w:rPr>
                <w:rFonts w:hint="eastAsia"/>
                <w:color w:val="auto"/>
              </w:rPr>
              <w:t>3</w:t>
            </w:r>
          </w:p>
        </w:tc>
        <w:tc>
          <w:tcPr>
            <w:tcW w:w="1065" w:type="dxa"/>
            <w:vMerge w:val="restart"/>
            <w:tcBorders>
              <w:top w:val="nil"/>
              <w:left w:val="nil"/>
              <w:bottom w:val="single" w:color="auto" w:sz="4" w:space="0"/>
              <w:right w:val="single" w:color="auto" w:sz="4" w:space="0"/>
            </w:tcBorders>
            <w:vAlign w:val="center"/>
          </w:tcPr>
          <w:p w14:paraId="74ABA77B">
            <w:pPr>
              <w:jc w:val="both"/>
              <w:rPr>
                <w:rFonts w:hint="eastAsia"/>
                <w:color w:val="auto"/>
              </w:rPr>
            </w:pPr>
            <w:r>
              <w:rPr>
                <w:rFonts w:hint="eastAsia"/>
                <w:color w:val="auto"/>
                <w:lang w:eastAsia="zh-CN"/>
              </w:rPr>
              <w:t>遴选</w:t>
            </w:r>
            <w:r>
              <w:rPr>
                <w:rFonts w:hint="eastAsia"/>
                <w:color w:val="auto"/>
              </w:rPr>
              <w:t>文件的响应程度审查</w:t>
            </w:r>
          </w:p>
        </w:tc>
        <w:tc>
          <w:tcPr>
            <w:tcW w:w="1830" w:type="dxa"/>
            <w:tcBorders>
              <w:top w:val="single" w:color="auto" w:sz="4" w:space="0"/>
              <w:left w:val="nil"/>
              <w:bottom w:val="single" w:color="auto" w:sz="4" w:space="0"/>
              <w:right w:val="single" w:color="auto" w:sz="4" w:space="0"/>
            </w:tcBorders>
            <w:vAlign w:val="center"/>
          </w:tcPr>
          <w:p w14:paraId="42722548">
            <w:pPr>
              <w:rPr>
                <w:rFonts w:hint="eastAsia"/>
                <w:color w:val="auto"/>
              </w:rPr>
            </w:pPr>
            <w:r>
              <w:rPr>
                <w:rFonts w:hint="eastAsia"/>
                <w:color w:val="auto"/>
                <w:lang w:eastAsia="zh-CN"/>
              </w:rPr>
              <w:t>响应</w:t>
            </w:r>
            <w:r>
              <w:rPr>
                <w:rFonts w:hint="eastAsia"/>
                <w:color w:val="auto"/>
              </w:rPr>
              <w:t>文件内容</w:t>
            </w:r>
          </w:p>
        </w:tc>
        <w:tc>
          <w:tcPr>
            <w:tcW w:w="5370" w:type="dxa"/>
            <w:tcBorders>
              <w:top w:val="single" w:color="auto" w:sz="4" w:space="0"/>
              <w:left w:val="nil"/>
              <w:bottom w:val="single" w:color="auto" w:sz="4" w:space="0"/>
              <w:right w:val="single" w:color="auto" w:sz="4" w:space="0"/>
            </w:tcBorders>
            <w:vAlign w:val="center"/>
          </w:tcPr>
          <w:p w14:paraId="62695B2C">
            <w:pPr>
              <w:rPr>
                <w:rFonts w:hint="eastAsia"/>
                <w:color w:val="auto"/>
              </w:rPr>
            </w:pPr>
            <w:r>
              <w:rPr>
                <w:rFonts w:hint="eastAsia"/>
                <w:color w:val="auto"/>
              </w:rPr>
              <w:t>对</w:t>
            </w:r>
            <w:r>
              <w:rPr>
                <w:rFonts w:hint="eastAsia"/>
                <w:color w:val="auto"/>
                <w:lang w:eastAsia="zh-CN"/>
              </w:rPr>
              <w:t>遴选</w:t>
            </w:r>
            <w:r>
              <w:rPr>
                <w:rFonts w:hint="eastAsia"/>
                <w:color w:val="auto"/>
              </w:rPr>
              <w:t>文件第一</w:t>
            </w:r>
            <w:r>
              <w:rPr>
                <w:rFonts w:hint="eastAsia"/>
                <w:color w:val="auto"/>
                <w:lang w:eastAsia="zh-CN"/>
              </w:rPr>
              <w:t>章</w:t>
            </w:r>
            <w:r>
              <w:rPr>
                <w:rFonts w:hint="eastAsia"/>
                <w:color w:val="auto"/>
              </w:rPr>
              <w:t>和第二</w:t>
            </w:r>
            <w:r>
              <w:rPr>
                <w:rFonts w:hint="eastAsia"/>
                <w:color w:val="auto"/>
                <w:lang w:eastAsia="zh-CN"/>
              </w:rPr>
              <w:t>章</w:t>
            </w:r>
            <w:r>
              <w:rPr>
                <w:rFonts w:hint="eastAsia"/>
                <w:color w:val="auto"/>
              </w:rPr>
              <w:t>规定的招标内容全部作出响应</w:t>
            </w:r>
            <w:r>
              <w:rPr>
                <w:rFonts w:hint="eastAsia"/>
                <w:color w:val="auto"/>
                <w:lang w:val="en-US" w:eastAsia="zh-CN"/>
              </w:rPr>
              <w:t>承诺，采购需求技术参数及商务要求内容除响应承诺外另按要求逐条响应提供</w:t>
            </w:r>
            <w:r>
              <w:rPr>
                <w:rFonts w:hint="eastAsia"/>
                <w:color w:val="auto"/>
              </w:rPr>
              <w:t>。</w:t>
            </w:r>
          </w:p>
        </w:tc>
      </w:tr>
      <w:tr w14:paraId="2F1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2F06F7FC">
            <w:pPr>
              <w:rPr>
                <w:rFonts w:hint="eastAsia"/>
                <w:color w:val="auto"/>
              </w:rPr>
            </w:pPr>
          </w:p>
        </w:tc>
        <w:tc>
          <w:tcPr>
            <w:tcW w:w="1065" w:type="dxa"/>
            <w:vMerge w:val="continue"/>
            <w:tcBorders>
              <w:top w:val="nil"/>
              <w:left w:val="nil"/>
              <w:bottom w:val="single" w:color="auto" w:sz="4" w:space="0"/>
              <w:right w:val="single" w:color="auto" w:sz="4" w:space="0"/>
            </w:tcBorders>
            <w:vAlign w:val="center"/>
          </w:tcPr>
          <w:p w14:paraId="5EB88EC6">
            <w:pPr>
              <w:rPr>
                <w:rFonts w:hint="eastAsia"/>
                <w:color w:val="auto"/>
              </w:rPr>
            </w:pPr>
          </w:p>
        </w:tc>
        <w:tc>
          <w:tcPr>
            <w:tcW w:w="1830" w:type="dxa"/>
            <w:tcBorders>
              <w:top w:val="single" w:color="auto" w:sz="4" w:space="0"/>
              <w:left w:val="nil"/>
              <w:bottom w:val="single" w:color="auto" w:sz="4" w:space="0"/>
              <w:right w:val="single" w:color="auto" w:sz="4" w:space="0"/>
            </w:tcBorders>
            <w:vAlign w:val="center"/>
          </w:tcPr>
          <w:p w14:paraId="2CE8C387">
            <w:pPr>
              <w:rPr>
                <w:rFonts w:hint="eastAsia"/>
                <w:color w:val="auto"/>
              </w:rPr>
            </w:pPr>
            <w:r>
              <w:rPr>
                <w:rFonts w:hint="eastAsia"/>
                <w:color w:val="auto"/>
              </w:rPr>
              <w:t>投标有效期</w:t>
            </w:r>
          </w:p>
        </w:tc>
        <w:tc>
          <w:tcPr>
            <w:tcW w:w="5370" w:type="dxa"/>
            <w:tcBorders>
              <w:top w:val="single" w:color="auto" w:sz="4" w:space="0"/>
              <w:left w:val="nil"/>
              <w:bottom w:val="single" w:color="auto" w:sz="4" w:space="0"/>
              <w:right w:val="single" w:color="auto" w:sz="4" w:space="0"/>
            </w:tcBorders>
            <w:vAlign w:val="center"/>
          </w:tcPr>
          <w:p w14:paraId="4A3153FF">
            <w:pPr>
              <w:rPr>
                <w:rFonts w:hint="eastAsia"/>
                <w:color w:val="auto"/>
              </w:rPr>
            </w:pPr>
            <w:r>
              <w:rPr>
                <w:rFonts w:hint="eastAsia"/>
                <w:color w:val="auto"/>
              </w:rPr>
              <w:t>满足</w:t>
            </w:r>
            <w:r>
              <w:rPr>
                <w:rFonts w:hint="eastAsia"/>
                <w:color w:val="auto"/>
                <w:lang w:eastAsia="zh-CN"/>
              </w:rPr>
              <w:t>遴选</w:t>
            </w:r>
            <w:r>
              <w:rPr>
                <w:rFonts w:hint="eastAsia"/>
                <w:color w:val="auto"/>
              </w:rPr>
              <w:t>文件规定</w:t>
            </w:r>
            <w:r>
              <w:rPr>
                <w:rFonts w:hint="eastAsia"/>
                <w:color w:val="auto"/>
                <w:lang w:eastAsia="zh-CN"/>
              </w:rPr>
              <w:t>（投标有效期：</w:t>
            </w:r>
            <w:r>
              <w:rPr>
                <w:rFonts w:hint="eastAsia"/>
                <w:color w:val="auto"/>
                <w:u w:val="single"/>
                <w:lang w:val="en-US" w:eastAsia="zh-CN"/>
              </w:rPr>
              <w:t>90天</w:t>
            </w:r>
            <w:r>
              <w:rPr>
                <w:rFonts w:hint="eastAsia"/>
                <w:color w:val="auto"/>
                <w:lang w:eastAsia="zh-CN"/>
              </w:rPr>
              <w:t>）</w:t>
            </w:r>
            <w:r>
              <w:rPr>
                <w:rFonts w:hint="eastAsia"/>
                <w:color w:val="auto"/>
              </w:rPr>
              <w:t>。</w:t>
            </w:r>
          </w:p>
        </w:tc>
      </w:tr>
    </w:tbl>
    <w:p w14:paraId="3D210C23">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76BFC655">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786B08E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9" w:name="_Toc441065675"/>
      <w:bookmarkEnd w:id="9"/>
      <w:bookmarkStart w:id="10" w:name="_Toc467675507"/>
      <w:bookmarkEnd w:id="10"/>
      <w:bookmarkStart w:id="11" w:name="_Toc267320057"/>
    </w:p>
    <w:p w14:paraId="55D9B64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14:paraId="7088A41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1"/>
      <w:r>
        <w:rPr>
          <w:rFonts w:hint="eastAsia" w:ascii="方正仿宋_GB2312" w:hAnsi="方正仿宋_GB2312" w:eastAsia="方正仿宋_GB2312" w:cs="方正仿宋_GB2312"/>
          <w:b/>
          <w:bCs/>
          <w:color w:val="auto"/>
          <w:kern w:val="0"/>
          <w:sz w:val="32"/>
          <w:szCs w:val="32"/>
          <w:lang w:val="en-US" w:eastAsia="zh-CN" w:bidi="ar-SA"/>
        </w:rPr>
        <w:t>：</w:t>
      </w:r>
    </w:p>
    <w:p w14:paraId="5D0687BC">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1"/>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11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46548E08">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1C88F110">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1E94EFEA">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866" w:type="dxa"/>
            <w:vAlign w:val="center"/>
          </w:tcPr>
          <w:p w14:paraId="3D1DEDD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6AEAE1FD">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2555565B">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75%</w:t>
            </w:r>
          </w:p>
        </w:tc>
      </w:tr>
      <w:tr w14:paraId="77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F78AC3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5CB0F603">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1A66B23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25%</w:t>
            </w:r>
          </w:p>
        </w:tc>
      </w:tr>
      <w:tr w14:paraId="7B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D043D11">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default"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60F67CD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14:paraId="4E518EC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14:paraId="39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33308E1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3A8FFAD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20"/>
        <w:tblW w:w="8894"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69"/>
        <w:gridCol w:w="1815"/>
        <w:gridCol w:w="4935"/>
        <w:gridCol w:w="975"/>
      </w:tblGrid>
      <w:tr w14:paraId="564CC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1169" w:type="dxa"/>
            <w:tcBorders>
              <w:right w:val="single" w:color="auto" w:sz="4" w:space="0"/>
            </w:tcBorders>
            <w:vAlign w:val="center"/>
          </w:tcPr>
          <w:p w14:paraId="6BFA3EAE">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评分类</w:t>
            </w:r>
          </w:p>
        </w:tc>
        <w:tc>
          <w:tcPr>
            <w:tcW w:w="1815" w:type="dxa"/>
            <w:tcBorders>
              <w:left w:val="single" w:color="auto" w:sz="4" w:space="0"/>
              <w:right w:val="single" w:color="auto" w:sz="4" w:space="0"/>
            </w:tcBorders>
            <w:vAlign w:val="center"/>
          </w:tcPr>
          <w:p w14:paraId="0C9AE8BD">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评分内容</w:t>
            </w:r>
          </w:p>
        </w:tc>
        <w:tc>
          <w:tcPr>
            <w:tcW w:w="4935" w:type="dxa"/>
            <w:tcBorders>
              <w:left w:val="single" w:color="auto" w:sz="4" w:space="0"/>
            </w:tcBorders>
            <w:vAlign w:val="center"/>
          </w:tcPr>
          <w:p w14:paraId="6955F707">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c>
          <w:tcPr>
            <w:tcW w:w="975" w:type="dxa"/>
            <w:tcBorders>
              <w:left w:val="single" w:color="auto" w:sz="4" w:space="0"/>
            </w:tcBorders>
            <w:vAlign w:val="center"/>
          </w:tcPr>
          <w:p w14:paraId="21C4207F">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分值</w:t>
            </w:r>
          </w:p>
        </w:tc>
      </w:tr>
      <w:tr w14:paraId="526C4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5" w:hRule="atLeast"/>
        </w:trPr>
        <w:tc>
          <w:tcPr>
            <w:tcW w:w="1169" w:type="dxa"/>
            <w:vMerge w:val="restart"/>
            <w:tcBorders>
              <w:right w:val="single" w:color="auto" w:sz="4" w:space="0"/>
            </w:tcBorders>
            <w:vAlign w:val="center"/>
          </w:tcPr>
          <w:p w14:paraId="7F5EC1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技术部分</w:t>
            </w:r>
          </w:p>
        </w:tc>
        <w:tc>
          <w:tcPr>
            <w:tcW w:w="1815" w:type="dxa"/>
            <w:tcBorders>
              <w:left w:val="single" w:color="auto" w:sz="4" w:space="0"/>
              <w:bottom w:val="single" w:color="auto" w:sz="4" w:space="0"/>
              <w:right w:val="single" w:color="auto" w:sz="4" w:space="0"/>
            </w:tcBorders>
            <w:vAlign w:val="center"/>
          </w:tcPr>
          <w:p w14:paraId="267197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项目整体思路及服务方案</w:t>
            </w:r>
          </w:p>
        </w:tc>
        <w:tc>
          <w:tcPr>
            <w:tcW w:w="4935" w:type="dxa"/>
            <w:tcBorders>
              <w:left w:val="single" w:color="auto" w:sz="4" w:space="0"/>
              <w:bottom w:val="single" w:color="auto" w:sz="4" w:space="0"/>
            </w:tcBorders>
            <w:vAlign w:val="center"/>
          </w:tcPr>
          <w:p w14:paraId="4B51B5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供应商提供的针对本项目的整体服务思路及方案（包括但不限于①服务特点、重点/难点分析、整体目标；②服务定位、管理目标、模式；③服务质量保障措施及优化；④服务人员奖惩及管理相关方案等方面）进行横向对比，综合评价：</w:t>
            </w:r>
          </w:p>
          <w:p w14:paraId="665948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①方案详实，服务特点、重点/难点分析合理，定位明确，管理目标、模式清楚，质量保障措施及优化方向表述清晰，服务人员奖惩及管理相关方案全面，实用性强，计15-13分。</w:t>
            </w:r>
          </w:p>
          <w:p w14:paraId="44F466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②针对方案要求内容有分析但不够具体，可操作性描述不够详实的，计12-9分。</w:t>
            </w:r>
          </w:p>
          <w:p w14:paraId="22A901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③针对方案要求内容表述简略，有缺漏项或偏差，可操作性不强的，计8-5分。</w:t>
            </w:r>
          </w:p>
          <w:p w14:paraId="27F9041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④未提供方案，不得分。</w:t>
            </w:r>
          </w:p>
        </w:tc>
        <w:tc>
          <w:tcPr>
            <w:tcW w:w="975" w:type="dxa"/>
            <w:tcBorders>
              <w:left w:val="single" w:color="auto" w:sz="4" w:space="0"/>
              <w:bottom w:val="single" w:color="auto" w:sz="4" w:space="0"/>
            </w:tcBorders>
            <w:vAlign w:val="center"/>
          </w:tcPr>
          <w:p w14:paraId="02B067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15</w:t>
            </w:r>
          </w:p>
        </w:tc>
      </w:tr>
      <w:tr w14:paraId="5FDD92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60" w:hRule="atLeast"/>
        </w:trPr>
        <w:tc>
          <w:tcPr>
            <w:tcW w:w="1169" w:type="dxa"/>
            <w:vMerge w:val="continue"/>
            <w:tcBorders>
              <w:right w:val="single" w:color="auto" w:sz="4" w:space="0"/>
            </w:tcBorders>
            <w:vAlign w:val="center"/>
          </w:tcPr>
          <w:p w14:paraId="73C30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bottom w:val="single" w:color="auto" w:sz="4" w:space="0"/>
              <w:right w:val="single" w:color="auto" w:sz="4" w:space="0"/>
            </w:tcBorders>
            <w:shd w:val="clear" w:color="auto" w:fill="auto"/>
            <w:vAlign w:val="center"/>
          </w:tcPr>
          <w:p w14:paraId="63FBF7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人员岗位职责及服务流程方案</w:t>
            </w:r>
          </w:p>
        </w:tc>
        <w:tc>
          <w:tcPr>
            <w:tcW w:w="4935" w:type="dxa"/>
            <w:tcBorders>
              <w:left w:val="single" w:color="auto" w:sz="4" w:space="0"/>
              <w:bottom w:val="single" w:color="auto" w:sz="4" w:space="0"/>
            </w:tcBorders>
            <w:shd w:val="clear" w:color="auto" w:fill="auto"/>
            <w:vAlign w:val="center"/>
          </w:tcPr>
          <w:p w14:paraId="5226C2D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根据投标供应商提供的针对本项目的服务人员岗位职责及服务流程方案内容进行横向对比，综合评价：①方案内容完善详细，岗位职责明确，工作流程清晰，结合了项目实际情况，可操作性强的，计10-7分。</w:t>
            </w:r>
          </w:p>
          <w:p w14:paraId="6B5257D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②方案内容敷衍，复制黏贴，针对性不强的，计6-4分。</w:t>
            </w:r>
          </w:p>
          <w:p w14:paraId="3B4A915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③方案内容有缺漏，职责分工、服务流程不明，不符合实际情况的，计3-1分。</w:t>
            </w:r>
          </w:p>
          <w:p w14:paraId="321E446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④未提供方案，不得分。</w:t>
            </w:r>
          </w:p>
        </w:tc>
        <w:tc>
          <w:tcPr>
            <w:tcW w:w="975" w:type="dxa"/>
            <w:tcBorders>
              <w:left w:val="single" w:color="auto" w:sz="4" w:space="0"/>
              <w:bottom w:val="single" w:color="auto" w:sz="4" w:space="0"/>
            </w:tcBorders>
            <w:shd w:val="clear" w:color="auto" w:fill="auto"/>
            <w:vAlign w:val="center"/>
          </w:tcPr>
          <w:p w14:paraId="20AD16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r>
      <w:tr w14:paraId="40611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0" w:hRule="atLeast"/>
        </w:trPr>
        <w:tc>
          <w:tcPr>
            <w:tcW w:w="1169" w:type="dxa"/>
            <w:vMerge w:val="continue"/>
            <w:tcBorders>
              <w:right w:val="single" w:color="auto" w:sz="4" w:space="0"/>
            </w:tcBorders>
            <w:vAlign w:val="center"/>
          </w:tcPr>
          <w:p w14:paraId="4F9D1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bottom w:val="single" w:color="auto" w:sz="4" w:space="0"/>
              <w:right w:val="single" w:color="auto" w:sz="4" w:space="0"/>
            </w:tcBorders>
            <w:shd w:val="clear" w:color="auto" w:fill="auto"/>
            <w:vAlign w:val="center"/>
          </w:tcPr>
          <w:p w14:paraId="17EC0F2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人员培训与持续教育方案</w:t>
            </w:r>
          </w:p>
        </w:tc>
        <w:tc>
          <w:tcPr>
            <w:tcW w:w="4935" w:type="dxa"/>
            <w:tcBorders>
              <w:left w:val="single" w:color="auto" w:sz="4" w:space="0"/>
              <w:bottom w:val="single" w:color="auto" w:sz="4" w:space="0"/>
            </w:tcBorders>
            <w:shd w:val="clear" w:color="auto" w:fill="auto"/>
            <w:vAlign w:val="center"/>
          </w:tcPr>
          <w:p w14:paraId="603BC19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根据投标供应商提供的针对本项目的服务培训内容（包括但不限于①服务意识；②应急处置能力；③制度规定学习；④服务品质；⑤培训规划等方面）进行横向对比，综合评价：</w:t>
            </w:r>
          </w:p>
          <w:p w14:paraId="06CE2D1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①方案内容详实，考虑全面，实用性强，切合项目实际的，计10-7分。</w:t>
            </w:r>
          </w:p>
          <w:p w14:paraId="06EAB43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②方案内容一般，或有缺漏项，表述简单的，计6-4分。</w:t>
            </w:r>
          </w:p>
          <w:p w14:paraId="671CF31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③方案内容简略，有缺漏项，实用性不强，与项目实际结合不紧密的，计3-1分。</w:t>
            </w:r>
          </w:p>
          <w:p w14:paraId="258C3E6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④未提供方案，不得分。</w:t>
            </w:r>
          </w:p>
        </w:tc>
        <w:tc>
          <w:tcPr>
            <w:tcW w:w="975" w:type="dxa"/>
            <w:tcBorders>
              <w:left w:val="single" w:color="auto" w:sz="4" w:space="0"/>
              <w:bottom w:val="single" w:color="auto" w:sz="4" w:space="0"/>
            </w:tcBorders>
            <w:shd w:val="clear" w:color="auto" w:fill="auto"/>
            <w:vAlign w:val="center"/>
          </w:tcPr>
          <w:p w14:paraId="4A9F3C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r>
      <w:tr w14:paraId="65E31B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0" w:hRule="atLeast"/>
        </w:trPr>
        <w:tc>
          <w:tcPr>
            <w:tcW w:w="1169" w:type="dxa"/>
            <w:vMerge w:val="continue"/>
            <w:tcBorders>
              <w:right w:val="single" w:color="auto" w:sz="4" w:space="0"/>
            </w:tcBorders>
            <w:vAlign w:val="center"/>
          </w:tcPr>
          <w:p w14:paraId="51FC4E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bottom w:val="single" w:color="auto" w:sz="4" w:space="0"/>
              <w:right w:val="single" w:color="auto" w:sz="4" w:space="0"/>
            </w:tcBorders>
            <w:shd w:val="clear" w:color="auto" w:fill="auto"/>
            <w:vAlign w:val="center"/>
          </w:tcPr>
          <w:p w14:paraId="406B1C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免陪照护病房</w:t>
            </w:r>
          </w:p>
          <w:p w14:paraId="3B166C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管理方案</w:t>
            </w:r>
          </w:p>
        </w:tc>
        <w:tc>
          <w:tcPr>
            <w:tcW w:w="4935" w:type="dxa"/>
            <w:tcBorders>
              <w:left w:val="single" w:color="auto" w:sz="4" w:space="0"/>
              <w:bottom w:val="single" w:color="auto" w:sz="4" w:space="0"/>
            </w:tcBorders>
            <w:shd w:val="clear" w:color="auto" w:fill="auto"/>
            <w:vAlign w:val="center"/>
          </w:tcPr>
          <w:p w14:paraId="2EB46B2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根据投标供应商针对本项目服务内容提供的管理方案（包括但不限于①人员管理；②照护方案；③不同病房照护管理方案等）进行横向对比，综合评价：</w:t>
            </w:r>
          </w:p>
          <w:p w14:paraId="5B7464B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①方案科学完善、考虑周全、科学合理，可操作性强，结合了项目实际情况的，计10-7分。</w:t>
            </w:r>
          </w:p>
          <w:p w14:paraId="428E28E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②方案内容笼统，考虑较周全，有操作性，结合了项目实际情况的，计6-4分。</w:t>
            </w:r>
          </w:p>
          <w:p w14:paraId="14270C8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③方案简单，可操作性一般，基本符合项目实际情况的，计3-1分。</w:t>
            </w:r>
          </w:p>
          <w:p w14:paraId="1C7EBE3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④未提供方案，不得分。</w:t>
            </w:r>
          </w:p>
        </w:tc>
        <w:tc>
          <w:tcPr>
            <w:tcW w:w="975" w:type="dxa"/>
            <w:tcBorders>
              <w:left w:val="single" w:color="auto" w:sz="4" w:space="0"/>
              <w:bottom w:val="single" w:color="auto" w:sz="4" w:space="0"/>
            </w:tcBorders>
            <w:shd w:val="clear" w:color="auto" w:fill="auto"/>
            <w:vAlign w:val="center"/>
          </w:tcPr>
          <w:p w14:paraId="4F0430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r>
      <w:tr w14:paraId="1ED2A2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0" w:hRule="atLeast"/>
        </w:trPr>
        <w:tc>
          <w:tcPr>
            <w:tcW w:w="1169" w:type="dxa"/>
            <w:vMerge w:val="continue"/>
            <w:tcBorders>
              <w:right w:val="single" w:color="auto" w:sz="4" w:space="0"/>
            </w:tcBorders>
            <w:vAlign w:val="center"/>
          </w:tcPr>
          <w:p w14:paraId="1181E7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bottom w:val="single" w:color="auto" w:sz="4" w:space="0"/>
              <w:right w:val="single" w:color="auto" w:sz="4" w:space="0"/>
            </w:tcBorders>
            <w:shd w:val="clear" w:color="auto" w:fill="auto"/>
            <w:vAlign w:val="center"/>
          </w:tcPr>
          <w:p w14:paraId="6EB4EE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服务质量保证</w:t>
            </w:r>
          </w:p>
          <w:p w14:paraId="1A55B8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体系方案</w:t>
            </w:r>
          </w:p>
        </w:tc>
        <w:tc>
          <w:tcPr>
            <w:tcW w:w="4935" w:type="dxa"/>
            <w:tcBorders>
              <w:left w:val="single" w:color="auto" w:sz="4" w:space="0"/>
              <w:bottom w:val="single" w:color="auto" w:sz="4" w:space="0"/>
            </w:tcBorders>
            <w:shd w:val="clear" w:color="auto" w:fill="auto"/>
            <w:vAlign w:val="center"/>
          </w:tcPr>
          <w:p w14:paraId="45F817A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根据投标供应商针对本项目服务内容提供的质量监控体系方案(包括不限于1.服务质量考核标准；2.奖罚规定；3.质量巡检表；4.质量检查表等)</w:t>
            </w:r>
          </w:p>
          <w:p w14:paraId="29B0D4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①方案内容齐全、阐述合理、表述全面且方案完善、措施合理的计10-7分；</w:t>
            </w:r>
          </w:p>
          <w:p w14:paraId="37671D2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②每有一项内容虽阐述但未贴合项目实际情况进行论述，或内容中未包括具体措施，扣2分/项；</w:t>
            </w:r>
          </w:p>
          <w:p w14:paraId="5286C88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③未提供不得分。</w:t>
            </w:r>
          </w:p>
        </w:tc>
        <w:tc>
          <w:tcPr>
            <w:tcW w:w="975" w:type="dxa"/>
            <w:tcBorders>
              <w:left w:val="single" w:color="auto" w:sz="4" w:space="0"/>
              <w:bottom w:val="single" w:color="auto" w:sz="4" w:space="0"/>
            </w:tcBorders>
            <w:shd w:val="clear" w:color="auto" w:fill="auto"/>
            <w:vAlign w:val="center"/>
          </w:tcPr>
          <w:p w14:paraId="14B310A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w:t>
            </w:r>
          </w:p>
        </w:tc>
      </w:tr>
      <w:tr w14:paraId="638D55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0" w:hRule="atLeast"/>
        </w:trPr>
        <w:tc>
          <w:tcPr>
            <w:tcW w:w="1169" w:type="dxa"/>
            <w:vMerge w:val="continue"/>
            <w:tcBorders>
              <w:right w:val="single" w:color="auto" w:sz="4" w:space="0"/>
            </w:tcBorders>
            <w:vAlign w:val="center"/>
          </w:tcPr>
          <w:p w14:paraId="745742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bottom w:val="single" w:color="auto" w:sz="4" w:space="0"/>
              <w:right w:val="single" w:color="auto" w:sz="4" w:space="0"/>
            </w:tcBorders>
            <w:shd w:val="clear" w:color="auto" w:fill="auto"/>
            <w:vAlign w:val="center"/>
          </w:tcPr>
          <w:p w14:paraId="7E82C9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2"/>
                <w:kern w:val="2"/>
                <w:sz w:val="21"/>
                <w:szCs w:val="24"/>
                <w:lang w:val="en-US" w:eastAsia="zh-CN" w:bidi="ar-SA"/>
              </w:rPr>
            </w:pPr>
            <w:r>
              <w:rPr>
                <w:rFonts w:hint="eastAsia" w:ascii="宋体" w:hAnsi="宋体" w:eastAsia="宋体" w:cs="宋体"/>
                <w:color w:val="auto"/>
                <w:spacing w:val="-2"/>
                <w:lang w:val="en-US" w:eastAsia="zh-CN"/>
              </w:rPr>
              <w:t>承诺函</w:t>
            </w:r>
          </w:p>
        </w:tc>
        <w:tc>
          <w:tcPr>
            <w:tcW w:w="4935" w:type="dxa"/>
            <w:tcBorders>
              <w:left w:val="single" w:color="auto" w:sz="4" w:space="0"/>
              <w:bottom w:val="single" w:color="auto" w:sz="4" w:space="0"/>
            </w:tcBorders>
            <w:shd w:val="clear" w:color="auto" w:fill="auto"/>
            <w:vAlign w:val="center"/>
          </w:tcPr>
          <w:p w14:paraId="6C87BD8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Segoe UI" w:hAnsi="Segoe UI" w:eastAsia="Segoe UI" w:cs="Segoe UI"/>
                <w:i w:val="0"/>
                <w:iCs w:val="0"/>
                <w:caps w:val="0"/>
                <w:color w:val="auto"/>
                <w:spacing w:val="0"/>
                <w:sz w:val="22"/>
                <w:szCs w:val="22"/>
                <w:shd w:val="clear" w:fill="FFFFFF"/>
                <w:lang w:val="en-US" w:eastAsia="zh-CN"/>
              </w:rPr>
            </w:pPr>
            <w:r>
              <w:rPr>
                <w:rFonts w:hint="eastAsia" w:asciiTheme="minorEastAsia" w:hAnsiTheme="minorEastAsia" w:cstheme="minorEastAsia"/>
                <w:color w:val="auto"/>
                <w:sz w:val="21"/>
                <w:szCs w:val="21"/>
                <w:lang w:val="en-US" w:eastAsia="zh-CN"/>
              </w:rPr>
              <w:t>根据投标供应商针对本项目采购需求内容提供的承诺函（包括但不限于照护服务质量保证，项目明细，收费标准，适应范围，收费价格等，具体收费不得高于益阳市中心医院费用收取标准）</w:t>
            </w:r>
            <w:r>
              <w:rPr>
                <w:rFonts w:hint="eastAsia" w:ascii="Segoe UI" w:hAnsi="Segoe UI" w:eastAsia="Segoe UI" w:cs="Segoe UI"/>
                <w:i w:val="0"/>
                <w:iCs w:val="0"/>
                <w:caps w:val="0"/>
                <w:color w:val="auto"/>
                <w:spacing w:val="0"/>
                <w:sz w:val="22"/>
                <w:szCs w:val="22"/>
                <w:shd w:val="clear" w:fill="FFFFFF"/>
                <w:lang w:val="en-US" w:eastAsia="zh-CN"/>
              </w:rPr>
              <w:t>进行横向对比，综合评价：</w:t>
            </w:r>
          </w:p>
          <w:p w14:paraId="19F7D7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①承诺函内容考虑周全、收费价格合理，可操作性强，结合了实际情况有针对性、考虑全面的，计10-7分。</w:t>
            </w:r>
          </w:p>
          <w:p w14:paraId="75EBF7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②承诺函内容考虑有欠缺，收费价格偏高，具备可操作性，结合了实际情况有针对性的，计6-4分。</w:t>
            </w:r>
          </w:p>
          <w:p w14:paraId="25FFB7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③承诺函内容敷衍，可操作性不大、实用价值不大的，计3-1分。</w:t>
            </w:r>
          </w:p>
          <w:p w14:paraId="467CD1ED">
            <w:pPr>
              <w:pStyle w:val="10"/>
              <w:ind w:left="0" w:leftChars="0" w:firstLine="0" w:firstLine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④未提供方案，不得分。</w:t>
            </w:r>
          </w:p>
        </w:tc>
        <w:tc>
          <w:tcPr>
            <w:tcW w:w="975" w:type="dxa"/>
            <w:tcBorders>
              <w:left w:val="single" w:color="auto" w:sz="4" w:space="0"/>
              <w:bottom w:val="single" w:color="auto" w:sz="4" w:space="0"/>
            </w:tcBorders>
            <w:shd w:val="clear" w:color="auto" w:fill="auto"/>
            <w:vAlign w:val="center"/>
          </w:tcPr>
          <w:p w14:paraId="7EC25E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10</w:t>
            </w:r>
          </w:p>
        </w:tc>
      </w:tr>
      <w:tr w14:paraId="7A03B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169" w:type="dxa"/>
            <w:vMerge w:val="continue"/>
            <w:tcBorders>
              <w:bottom w:val="single" w:color="auto" w:sz="4" w:space="0"/>
              <w:right w:val="single" w:color="auto" w:sz="4" w:space="0"/>
            </w:tcBorders>
            <w:vAlign w:val="center"/>
          </w:tcPr>
          <w:p w14:paraId="49BBB9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Segoe UI" w:hAnsi="Segoe UI" w:eastAsia="Segoe UI" w:cs="Segoe UI"/>
                <w:i w:val="0"/>
                <w:iCs w:val="0"/>
                <w:caps w:val="0"/>
                <w:color w:val="auto"/>
                <w:spacing w:val="0"/>
                <w:sz w:val="22"/>
                <w:szCs w:val="22"/>
                <w:shd w:val="clear" w:fill="FFFFFF"/>
                <w:lang w:val="en-US" w:eastAsia="zh-CN"/>
              </w:rPr>
            </w:pPr>
          </w:p>
        </w:tc>
        <w:tc>
          <w:tcPr>
            <w:tcW w:w="1815" w:type="dxa"/>
            <w:tcBorders>
              <w:left w:val="single" w:color="auto" w:sz="4" w:space="0"/>
              <w:right w:val="single" w:color="auto" w:sz="4" w:space="0"/>
            </w:tcBorders>
            <w:shd w:val="clear" w:color="auto" w:fill="auto"/>
            <w:vAlign w:val="center"/>
          </w:tcPr>
          <w:p w14:paraId="103E91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Segoe UI" w:hAnsi="Segoe UI" w:eastAsia="Segoe UI" w:cs="Segoe UI"/>
                <w:i w:val="0"/>
                <w:iCs w:val="0"/>
                <w:caps w:val="0"/>
                <w:color w:val="auto"/>
                <w:spacing w:val="0"/>
                <w:sz w:val="22"/>
                <w:szCs w:val="22"/>
                <w:shd w:val="clear" w:fill="FFFFFF"/>
                <w:lang w:val="en-US" w:eastAsia="zh-CN"/>
              </w:rPr>
            </w:pPr>
            <w:r>
              <w:rPr>
                <w:rFonts w:hint="eastAsia" w:ascii="Segoe UI" w:hAnsi="Segoe UI" w:eastAsia="Segoe UI" w:cs="Segoe UI"/>
                <w:i w:val="0"/>
                <w:iCs w:val="0"/>
                <w:caps w:val="0"/>
                <w:color w:val="auto"/>
                <w:spacing w:val="0"/>
                <w:sz w:val="22"/>
                <w:szCs w:val="22"/>
                <w:shd w:val="clear" w:fill="FFFFFF"/>
                <w:lang w:val="en-US" w:eastAsia="zh-CN"/>
              </w:rPr>
              <w:t>突发事件应急</w:t>
            </w:r>
          </w:p>
          <w:p w14:paraId="383CA5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Segoe UI" w:hAnsi="Segoe UI" w:eastAsia="Segoe UI" w:cs="Segoe UI"/>
                <w:i w:val="0"/>
                <w:iCs w:val="0"/>
                <w:caps w:val="0"/>
                <w:color w:val="auto"/>
                <w:spacing w:val="0"/>
                <w:sz w:val="22"/>
                <w:szCs w:val="22"/>
                <w:shd w:val="clear" w:fill="FFFFFF"/>
                <w:lang w:val="en-US" w:eastAsia="zh-CN"/>
              </w:rPr>
            </w:pPr>
            <w:r>
              <w:rPr>
                <w:rFonts w:hint="eastAsia" w:ascii="Segoe UI" w:hAnsi="Segoe UI" w:eastAsia="Segoe UI" w:cs="Segoe UI"/>
                <w:i w:val="0"/>
                <w:iCs w:val="0"/>
                <w:caps w:val="0"/>
                <w:color w:val="auto"/>
                <w:spacing w:val="0"/>
                <w:sz w:val="22"/>
                <w:szCs w:val="22"/>
                <w:shd w:val="clear" w:fill="FFFFFF"/>
                <w:lang w:val="en-US" w:eastAsia="zh-CN"/>
              </w:rPr>
              <w:t>处理预案</w:t>
            </w:r>
          </w:p>
        </w:tc>
        <w:tc>
          <w:tcPr>
            <w:tcW w:w="4935" w:type="dxa"/>
            <w:tcBorders>
              <w:left w:val="single" w:color="auto" w:sz="4" w:space="0"/>
            </w:tcBorders>
            <w:shd w:val="clear" w:color="auto" w:fill="auto"/>
            <w:vAlign w:val="center"/>
          </w:tcPr>
          <w:p w14:paraId="77DE1B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Segoe UI" w:hAnsi="Segoe UI" w:eastAsia="Segoe UI" w:cs="Segoe UI"/>
                <w:i w:val="0"/>
                <w:iCs w:val="0"/>
                <w:caps w:val="0"/>
                <w:color w:val="auto"/>
                <w:spacing w:val="0"/>
                <w:sz w:val="22"/>
                <w:szCs w:val="22"/>
                <w:shd w:val="clear" w:fill="FFFFFF"/>
                <w:lang w:val="en-US" w:eastAsia="zh-CN"/>
              </w:rPr>
            </w:pPr>
            <w:r>
              <w:rPr>
                <w:rFonts w:hint="eastAsia" w:ascii="Segoe UI" w:hAnsi="Segoe UI" w:eastAsia="Segoe UI" w:cs="Segoe UI"/>
                <w:i w:val="0"/>
                <w:iCs w:val="0"/>
                <w:caps w:val="0"/>
                <w:color w:val="auto"/>
                <w:spacing w:val="0"/>
                <w:sz w:val="22"/>
                <w:szCs w:val="22"/>
                <w:shd w:val="clear" w:fill="FFFFFF"/>
                <w:lang w:val="en-US" w:eastAsia="zh-CN"/>
              </w:rPr>
              <w:t>根据投标供应商提供的针对本项目制定的应急预案进行横向对比，综合评价：</w:t>
            </w:r>
          </w:p>
          <w:p w14:paraId="042E38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①预案内容考虑周全、科学合理，可操作性强，结合了实际情况有针对、突发状况考虑全面的，计10-7分。</w:t>
            </w:r>
          </w:p>
          <w:p w14:paraId="632E4FE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②预案内容科学合理，可操作性强，结合了实际情况有针对性的，计6-4分。</w:t>
            </w:r>
          </w:p>
          <w:p w14:paraId="5B2DCA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③预案内容一般，简单敷衍，可操作性强实用价值不大的，天花乱坠的，计3-1分。</w:t>
            </w:r>
          </w:p>
          <w:p w14:paraId="514F7B5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④未提供方案，不得分。</w:t>
            </w:r>
          </w:p>
        </w:tc>
        <w:tc>
          <w:tcPr>
            <w:tcW w:w="975" w:type="dxa"/>
            <w:tcBorders>
              <w:left w:val="single" w:color="auto" w:sz="4" w:space="0"/>
            </w:tcBorders>
            <w:shd w:val="clear" w:color="auto" w:fill="auto"/>
            <w:vAlign w:val="center"/>
          </w:tcPr>
          <w:p w14:paraId="2455B8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Segoe UI" w:hAnsi="Segoe UI" w:eastAsia="Segoe UI" w:cs="Segoe UI"/>
                <w:i w:val="0"/>
                <w:iCs w:val="0"/>
                <w:caps w:val="0"/>
                <w:color w:val="auto"/>
                <w:spacing w:val="0"/>
                <w:sz w:val="22"/>
                <w:szCs w:val="22"/>
                <w:shd w:val="clear" w:fill="FFFFFF"/>
                <w:lang w:val="en-US" w:eastAsia="zh-CN"/>
              </w:rPr>
            </w:pPr>
            <w:r>
              <w:rPr>
                <w:rFonts w:hint="eastAsia" w:ascii="Segoe UI" w:hAnsi="Segoe UI" w:eastAsia="Segoe UI" w:cs="Segoe UI"/>
                <w:i w:val="0"/>
                <w:iCs w:val="0"/>
                <w:caps w:val="0"/>
                <w:color w:val="auto"/>
                <w:spacing w:val="0"/>
                <w:sz w:val="22"/>
                <w:szCs w:val="22"/>
                <w:shd w:val="clear" w:fill="FFFFFF"/>
                <w:lang w:val="en-US" w:eastAsia="zh-CN"/>
              </w:rPr>
              <w:t>10</w:t>
            </w:r>
          </w:p>
        </w:tc>
      </w:tr>
      <w:tr w14:paraId="4C6AB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00" w:hRule="atLeast"/>
        </w:trPr>
        <w:tc>
          <w:tcPr>
            <w:tcW w:w="1169" w:type="dxa"/>
            <w:vMerge w:val="restart"/>
            <w:tcBorders>
              <w:top w:val="single" w:color="auto" w:sz="4" w:space="0"/>
              <w:right w:val="single" w:color="auto" w:sz="4" w:space="0"/>
            </w:tcBorders>
            <w:vAlign w:val="center"/>
          </w:tcPr>
          <w:p w14:paraId="799B4C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商务部分</w:t>
            </w:r>
          </w:p>
        </w:tc>
        <w:tc>
          <w:tcPr>
            <w:tcW w:w="1815" w:type="dxa"/>
            <w:tcBorders>
              <w:left w:val="single" w:color="auto" w:sz="4" w:space="0"/>
              <w:right w:val="single" w:color="auto" w:sz="4" w:space="0"/>
            </w:tcBorders>
            <w:shd w:val="clear" w:color="auto" w:fill="auto"/>
            <w:vAlign w:val="center"/>
          </w:tcPr>
          <w:p w14:paraId="22AAA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asciiTheme="minorEastAsia" w:hAnsiTheme="minorEastAsia" w:cstheme="minorEastAsia"/>
                <w:color w:val="auto"/>
                <w:sz w:val="21"/>
                <w:szCs w:val="21"/>
                <w:lang w:val="en-US" w:eastAsia="zh-CN"/>
              </w:rPr>
            </w:pPr>
            <w:r>
              <w:rPr>
                <w:rFonts w:hint="eastAsia" w:ascii="宋体" w:hAnsi="宋体" w:eastAsia="宋体" w:cs="宋体"/>
                <w:color w:val="auto"/>
                <w:spacing w:val="-2"/>
              </w:rPr>
              <w:t>信息化管理</w:t>
            </w:r>
            <w:r>
              <w:rPr>
                <w:rFonts w:hint="eastAsia" w:ascii="宋体" w:hAnsi="宋体" w:eastAsia="宋体" w:cs="宋体"/>
                <w:color w:val="auto"/>
                <w:spacing w:val="-2"/>
                <w:lang w:val="en-US" w:eastAsia="zh-CN"/>
              </w:rPr>
              <w:t>建设</w:t>
            </w:r>
          </w:p>
        </w:tc>
        <w:tc>
          <w:tcPr>
            <w:tcW w:w="4935" w:type="dxa"/>
            <w:tcBorders>
              <w:left w:val="single" w:color="auto" w:sz="4" w:space="0"/>
            </w:tcBorders>
            <w:shd w:val="clear" w:color="auto" w:fill="auto"/>
            <w:vAlign w:val="center"/>
          </w:tcPr>
          <w:p w14:paraId="3ED270B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实现电子化线上信息管理或类似功能的信息化管理软件（包括但不限于服务人员管理，照护服务协议签订，线上下单缴费，患者端交互评价等，从保护患者隐私安全、信息系统功能完善程度等维度评价）。</w:t>
            </w:r>
          </w:p>
          <w:p w14:paraId="6BAC34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能提供完善的信息化管理服务方案、给予医院或管理部门实时服务数据、且在实践中已经落地实施的(方案中给予观察者权限的，管理后台的登录方式，以查验信息化系统使用与否)本项共计8分；</w:t>
            </w:r>
          </w:p>
          <w:p w14:paraId="6B8499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能初步提供陪护服务相关的信息化服务管理方案并提供信息化软件图文计5分；</w:t>
            </w:r>
          </w:p>
          <w:p w14:paraId="0D7E7C3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未提供不得分。</w:t>
            </w:r>
          </w:p>
          <w:p w14:paraId="0EAD2B11">
            <w:pPr>
              <w:pStyle w:val="10"/>
              <w:ind w:left="0" w:leftChars="0" w:firstLine="0" w:firstLineChars="0"/>
              <w:rPr>
                <w:rFonts w:hint="eastAsia"/>
                <w:color w:val="auto"/>
                <w:lang w:val="en-US" w:eastAsia="zh-CN"/>
              </w:rPr>
            </w:pPr>
            <w:r>
              <w:rPr>
                <w:rFonts w:hint="eastAsia" w:asciiTheme="minorEastAsia" w:hAnsiTheme="minorEastAsia" w:cstheme="minorEastAsia"/>
                <w:color w:val="auto"/>
                <w:sz w:val="21"/>
                <w:szCs w:val="21"/>
                <w:lang w:val="en-US" w:eastAsia="zh-CN"/>
              </w:rPr>
              <w:t>（提供信息化管理系统操作截图及相关佐证资料以及上述4个方面的软件管理系统的著作权登记证书复印件/原件扫描件，如非投标供应商自有，提供购买合同或授权许可等相关合法应用证明材料复印件/原件扫描件）</w:t>
            </w:r>
          </w:p>
        </w:tc>
        <w:tc>
          <w:tcPr>
            <w:tcW w:w="975" w:type="dxa"/>
            <w:tcBorders>
              <w:left w:val="single" w:color="auto" w:sz="4" w:space="0"/>
            </w:tcBorders>
            <w:shd w:val="clear" w:color="auto" w:fill="auto"/>
            <w:vAlign w:val="center"/>
          </w:tcPr>
          <w:p w14:paraId="4BDED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r>
      <w:tr w14:paraId="1EBD98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8" w:hRule="atLeast"/>
        </w:trPr>
        <w:tc>
          <w:tcPr>
            <w:tcW w:w="1169" w:type="dxa"/>
            <w:vMerge w:val="continue"/>
            <w:tcBorders>
              <w:right w:val="single" w:color="auto" w:sz="4" w:space="0"/>
            </w:tcBorders>
            <w:vAlign w:val="center"/>
          </w:tcPr>
          <w:p w14:paraId="6DCD46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right w:val="single" w:color="auto" w:sz="4" w:space="0"/>
            </w:tcBorders>
            <w:shd w:val="clear" w:color="auto" w:fill="auto"/>
            <w:vAlign w:val="center"/>
          </w:tcPr>
          <w:p w14:paraId="15C98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项目业绩</w:t>
            </w:r>
          </w:p>
        </w:tc>
        <w:tc>
          <w:tcPr>
            <w:tcW w:w="4935" w:type="dxa"/>
            <w:tcBorders>
              <w:left w:val="single" w:color="auto" w:sz="4" w:space="0"/>
            </w:tcBorders>
            <w:shd w:val="clear" w:color="auto" w:fill="auto"/>
            <w:vAlign w:val="center"/>
          </w:tcPr>
          <w:p w14:paraId="05D5AF1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投标供应商2023年</w:t>
            </w:r>
            <w:r>
              <w:rPr>
                <w:rFonts w:hint="eastAsia" w:asciiTheme="minorEastAsia" w:hAnsiTheme="minorEastAsia" w:cstheme="minorEastAsia"/>
                <w:color w:val="auto"/>
                <w:sz w:val="21"/>
                <w:szCs w:val="21"/>
                <w:u w:val="none"/>
                <w:lang w:val="en-US" w:eastAsia="zh-CN"/>
              </w:rPr>
              <w:t>（以合同甲方签订的时间为准）</w:t>
            </w:r>
            <w:r>
              <w:rPr>
                <w:rFonts w:hint="eastAsia" w:asciiTheme="minorEastAsia" w:hAnsiTheme="minorEastAsia" w:cstheme="minorEastAsia"/>
                <w:color w:val="auto"/>
                <w:sz w:val="21"/>
                <w:szCs w:val="21"/>
                <w:lang w:val="en-US" w:eastAsia="zh-CN"/>
              </w:rPr>
              <w:t>以来的医院类似陪护业绩，每份业绩得2分，最高得6分。</w:t>
            </w:r>
          </w:p>
          <w:p w14:paraId="7E7BA6D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（注：①同年度同一客户的业绩合同仅计分1次，不重复计分；②提供合同复印件或扫描件，合同内容不全或资料不全引起判断歧义的不得分）</w:t>
            </w:r>
          </w:p>
        </w:tc>
        <w:tc>
          <w:tcPr>
            <w:tcW w:w="975" w:type="dxa"/>
            <w:tcBorders>
              <w:left w:val="single" w:color="auto" w:sz="4" w:space="0"/>
            </w:tcBorders>
            <w:shd w:val="clear" w:color="auto" w:fill="auto"/>
            <w:vAlign w:val="center"/>
          </w:tcPr>
          <w:p w14:paraId="4CFD5E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r>
      <w:tr w14:paraId="0B5A29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trPr>
        <w:tc>
          <w:tcPr>
            <w:tcW w:w="1169" w:type="dxa"/>
            <w:vMerge w:val="continue"/>
            <w:tcBorders>
              <w:right w:val="single" w:color="auto" w:sz="4" w:space="0"/>
            </w:tcBorders>
            <w:vAlign w:val="center"/>
          </w:tcPr>
          <w:p w14:paraId="42BA4B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right w:val="single" w:color="auto" w:sz="4" w:space="0"/>
            </w:tcBorders>
            <w:shd w:val="clear" w:color="auto" w:fill="auto"/>
            <w:vAlign w:val="center"/>
          </w:tcPr>
          <w:p w14:paraId="585B4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人员配置</w:t>
            </w:r>
          </w:p>
        </w:tc>
        <w:tc>
          <w:tcPr>
            <w:tcW w:w="4935" w:type="dxa"/>
            <w:tcBorders>
              <w:left w:val="single" w:color="auto" w:sz="4" w:space="0"/>
            </w:tcBorders>
            <w:shd w:val="clear" w:color="auto" w:fill="auto"/>
            <w:vAlign w:val="center"/>
          </w:tcPr>
          <w:p w14:paraId="330D9E1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根据投标供应商针对本项目实际情况拟投入的人员配置情况进行横向对比，综合评价：</w:t>
            </w:r>
          </w:p>
          <w:p w14:paraId="7D2B1C8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①拟投入本项目的项目经理1名，具有护士执业资格证书的，得2分；具有护师及以上资格证书的，得3分。（提供相关证件证书材料和近6个月内任意1个月的公司购买社保证明资料）</w:t>
            </w:r>
          </w:p>
          <w:p w14:paraId="6FFEC20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②免陪服务人员具备医疗护理员合格证书超过30人（含30人）的，得5分；20人（含20人）-30人的，得3分；20人以下的，不得分。（提供医疗护理员合格证书复印件或扫描件）</w:t>
            </w:r>
          </w:p>
        </w:tc>
        <w:tc>
          <w:tcPr>
            <w:tcW w:w="975" w:type="dxa"/>
            <w:tcBorders>
              <w:left w:val="single" w:color="auto" w:sz="4" w:space="0"/>
            </w:tcBorders>
            <w:shd w:val="clear" w:color="auto" w:fill="auto"/>
            <w:vAlign w:val="center"/>
          </w:tcPr>
          <w:p w14:paraId="447777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r>
      <w:tr w14:paraId="44F6A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8" w:hRule="atLeast"/>
        </w:trPr>
        <w:tc>
          <w:tcPr>
            <w:tcW w:w="1169" w:type="dxa"/>
            <w:vMerge w:val="continue"/>
            <w:tcBorders>
              <w:right w:val="single" w:color="auto" w:sz="4" w:space="0"/>
            </w:tcBorders>
            <w:vAlign w:val="center"/>
          </w:tcPr>
          <w:p w14:paraId="4179D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p>
        </w:tc>
        <w:tc>
          <w:tcPr>
            <w:tcW w:w="1815" w:type="dxa"/>
            <w:tcBorders>
              <w:left w:val="single" w:color="auto" w:sz="4" w:space="0"/>
              <w:right w:val="single" w:color="auto" w:sz="4" w:space="0"/>
            </w:tcBorders>
            <w:shd w:val="clear" w:color="auto" w:fill="auto"/>
            <w:vAlign w:val="center"/>
          </w:tcPr>
          <w:p w14:paraId="33C67A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投标文件编制</w:t>
            </w:r>
          </w:p>
        </w:tc>
        <w:tc>
          <w:tcPr>
            <w:tcW w:w="4935" w:type="dxa"/>
            <w:tcBorders>
              <w:left w:val="single" w:color="auto" w:sz="4" w:space="0"/>
            </w:tcBorders>
            <w:shd w:val="clear" w:color="auto" w:fill="auto"/>
            <w:vAlign w:val="center"/>
          </w:tcPr>
          <w:p w14:paraId="448B6AF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投标响应文件按比选文件规定的格式、顺序编制，有目录、编页码，装订成册，书面完整无涂改，没有缺漏页、缺漏公章/签章/签名等，计3分；</w:t>
            </w:r>
          </w:p>
          <w:p w14:paraId="7336425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投标文件制作不严谨、有欠缺的评委酌情扣分。</w:t>
            </w:r>
          </w:p>
        </w:tc>
        <w:tc>
          <w:tcPr>
            <w:tcW w:w="975" w:type="dxa"/>
            <w:tcBorders>
              <w:left w:val="single" w:color="auto" w:sz="4" w:space="0"/>
            </w:tcBorders>
            <w:shd w:val="clear" w:color="auto" w:fill="auto"/>
            <w:vAlign w:val="center"/>
          </w:tcPr>
          <w:p w14:paraId="13BB2A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3分</w:t>
            </w:r>
          </w:p>
        </w:tc>
      </w:tr>
      <w:tr w14:paraId="09B990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8894" w:type="dxa"/>
            <w:gridSpan w:val="4"/>
            <w:shd w:val="clear" w:color="auto" w:fill="auto"/>
            <w:vAlign w:val="center"/>
          </w:tcPr>
          <w:p w14:paraId="2AF4172E">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100分</w:t>
            </w:r>
          </w:p>
        </w:tc>
      </w:tr>
    </w:tbl>
    <w:p w14:paraId="6750DDB4">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2" w:name="_Toc467675508"/>
      <w:bookmarkEnd w:id="12"/>
      <w:r>
        <w:rPr>
          <w:rFonts w:hint="eastAsia" w:ascii="方正仿宋_GB2312" w:hAnsi="方正仿宋_GB2312" w:eastAsia="方正仿宋_GB2312" w:cs="方正仿宋_GB2312"/>
          <w:b/>
          <w:bCs/>
          <w:color w:val="auto"/>
          <w:kern w:val="0"/>
          <w:sz w:val="32"/>
          <w:szCs w:val="32"/>
          <w:lang w:val="en-US" w:eastAsia="zh-CN" w:bidi="ar-SA"/>
        </w:rPr>
        <w:t>二、</w:t>
      </w:r>
      <w:bookmarkStart w:id="13" w:name="_Toc426705217"/>
      <w:bookmarkEnd w:id="13"/>
      <w:bookmarkStart w:id="14"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4"/>
    </w:p>
    <w:p w14:paraId="17C46FC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6CB039B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（七）响应文件未响应遴选文件依法作出的其他规定的。</w:t>
      </w:r>
    </w:p>
    <w:p w14:paraId="03D28B3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5" w:name="_Toc426705218"/>
      <w:bookmarkEnd w:id="15"/>
      <w:bookmarkStart w:id="16" w:name="_Toc467675509"/>
      <w:bookmarkEnd w:id="16"/>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遴选</w:t>
      </w:r>
      <w:r>
        <w:rPr>
          <w:rFonts w:hint="eastAsia" w:ascii="方正仿宋_GB2312" w:hAnsi="方正仿宋_GB2312" w:eastAsia="方正仿宋_GB2312" w:cs="方正仿宋_GB2312"/>
          <w:color w:val="auto"/>
          <w:sz w:val="32"/>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691FA4D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23107D0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3C2CE873">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委书记、院长、党委书记批准同意，改成与本次采购活动的唯一合格有效投标人进行院内谈判采购，谈判相关的实质性条款以及内容以本次遴选遴选文件和投标响应文件内容为基础；或者终止本次采购活动重新开展采购。</w:t>
      </w:r>
    </w:p>
    <w:p w14:paraId="59E01DB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14:paraId="29676870">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B070A4D">
      <w:pPr>
        <w:pStyle w:val="12"/>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0AED002">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49BA08E6">
      <w:pPr>
        <w:pStyle w:val="16"/>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17B4D84">
      <w:pPr>
        <w:pStyle w:val="16"/>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059C4172">
      <w:pPr>
        <w:pStyle w:val="16"/>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347A7727">
      <w:pPr>
        <w:pStyle w:val="16"/>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661051A6">
      <w:pPr>
        <w:pStyle w:val="16"/>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427D8916">
      <w:pPr>
        <w:pStyle w:val="16"/>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0CE02BF0">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1.患者或家属按服务内容与服务时长直接向服务公司支付费用。</w:t>
      </w:r>
    </w:p>
    <w:p w14:paraId="2ECC3C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2.医院不收取服务公司管理费，但服务公司需向医院缴纳履约保证金8万元，合同终止后无违规行为，医院全额无息退还。</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履约服务合同到期后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九</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lang w:val="en-US" w:eastAsia="zh-CN"/>
        </w:rPr>
        <w:t>一</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0235778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宋体" w:hAnsi="宋体" w:eastAsia="宋体" w:cs="宋体"/>
          <w:b/>
          <w:bCs/>
          <w:color w:val="auto"/>
          <w:kern w:val="2"/>
          <w:sz w:val="28"/>
          <w:szCs w:val="28"/>
          <w:lang w:val="en-US" w:eastAsia="zh-CN" w:bidi="ar-SA"/>
        </w:rPr>
        <w:t>十二、</w:t>
      </w: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62711E7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宋体" w:hAnsi="宋体" w:eastAsia="宋体" w:cs="宋体"/>
          <w:b/>
          <w:bCs/>
          <w:color w:val="auto"/>
          <w:kern w:val="2"/>
          <w:sz w:val="28"/>
          <w:szCs w:val="28"/>
          <w:lang w:val="en-US" w:eastAsia="zh-CN" w:bidi="ar-SA"/>
        </w:rPr>
        <w:t>十三、</w:t>
      </w:r>
      <w:r>
        <w:rPr>
          <w:rFonts w:hint="eastAsia" w:ascii="方正仿宋_GB2312" w:hAnsi="方正仿宋_GB2312" w:eastAsia="方正仿宋_GB2312" w:cs="方正仿宋_GB2312"/>
          <w:b/>
          <w:bCs/>
          <w:color w:val="auto"/>
          <w:sz w:val="28"/>
          <w:szCs w:val="28"/>
          <w:lang w:eastAsia="zh-CN"/>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0438BFBD">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3373F6B4">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73F3F34F">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EEE8925">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72D00B08">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 xml:space="preserve">响应文件包括下列内容： </w:t>
      </w:r>
    </w:p>
    <w:p w14:paraId="2A7E1832">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一、投标函</w:t>
      </w:r>
    </w:p>
    <w:p w14:paraId="155CAA8B">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二、投标人资格声明承诺函(格式)</w:t>
      </w:r>
    </w:p>
    <w:p w14:paraId="1B592882">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三、参加政府采购活动前三年内在经营活动中没有重大违法记录的书面声明</w:t>
      </w:r>
    </w:p>
    <w:p w14:paraId="653CB61C">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四、法定代表人身份证明书</w:t>
      </w:r>
    </w:p>
    <w:p w14:paraId="653ADE9F">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五、法定代表人授权委托书</w:t>
      </w:r>
    </w:p>
    <w:p w14:paraId="5646A861">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六、服务承诺及服务质量保证承诺函</w:t>
      </w:r>
    </w:p>
    <w:p w14:paraId="4DC3762C">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七、响应承诺函</w:t>
      </w:r>
    </w:p>
    <w:p w14:paraId="5FBAE2A3">
      <w:pPr>
        <w:spacing w:line="360" w:lineRule="auto"/>
        <w:ind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八、采购需求响应/偏离表</w:t>
      </w:r>
    </w:p>
    <w:p w14:paraId="0D756811">
      <w:pPr>
        <w:pStyle w:val="5"/>
        <w:pageBreakBefore w:val="0"/>
        <w:kinsoku/>
        <w:overflowPunct/>
        <w:topLinePunct w:val="0"/>
        <w:bidi w:val="0"/>
        <w:spacing w:line="594" w:lineRule="exact"/>
        <w:ind w:left="0" w:leftChars="0" w:firstLine="560" w:firstLineChars="200"/>
        <w:rPr>
          <w:rFonts w:hint="eastAsia" w:ascii="方正仿宋_GB2312" w:hAnsi="方正仿宋_GB2312" w:eastAsia="方正仿宋_GB2312" w:cs="方正仿宋_GB2312"/>
          <w:b w:val="0"/>
          <w:bCs/>
          <w:color w:val="auto"/>
          <w:kern w:val="0"/>
          <w:sz w:val="28"/>
          <w:szCs w:val="28"/>
          <w:lang w:val="en-US" w:eastAsia="zh-CN" w:bidi="ar-SA"/>
        </w:rPr>
      </w:pPr>
      <w:r>
        <w:rPr>
          <w:rFonts w:hint="eastAsia" w:ascii="方正仿宋_GB2312" w:hAnsi="方正仿宋_GB2312" w:eastAsia="方正仿宋_GB2312" w:cs="方正仿宋_GB2312"/>
          <w:b w:val="0"/>
          <w:bCs/>
          <w:color w:val="auto"/>
          <w:kern w:val="0"/>
          <w:sz w:val="28"/>
          <w:szCs w:val="28"/>
          <w:lang w:val="en-US" w:eastAsia="zh-CN" w:bidi="ar-SA"/>
        </w:rPr>
        <w:t>九、服务方案</w:t>
      </w:r>
    </w:p>
    <w:p w14:paraId="1F6D3BDD">
      <w:pPr>
        <w:pStyle w:val="5"/>
        <w:pageBreakBefore w:val="0"/>
        <w:kinsoku/>
        <w:overflowPunct/>
        <w:topLinePunct w:val="0"/>
        <w:bidi w:val="0"/>
        <w:spacing w:line="594" w:lineRule="exact"/>
        <w:ind w:left="0" w:leftChars="0" w:firstLine="560" w:firstLineChars="200"/>
        <w:rPr>
          <w:rFonts w:hint="eastAsia"/>
          <w:color w:val="auto"/>
        </w:rPr>
      </w:pPr>
      <w:r>
        <w:rPr>
          <w:rFonts w:hint="eastAsia" w:ascii="方正仿宋_GB2312" w:hAnsi="方正仿宋_GB2312" w:eastAsia="方正仿宋_GB2312" w:cs="方正仿宋_GB2312"/>
          <w:b w:val="0"/>
          <w:bCs/>
          <w:color w:val="auto"/>
          <w:kern w:val="0"/>
          <w:sz w:val="28"/>
          <w:szCs w:val="28"/>
          <w:lang w:val="en-US" w:eastAsia="zh-CN" w:bidi="ar-SA"/>
        </w:rPr>
        <w:t>十、投标人认为需要提供的证明材料</w:t>
      </w:r>
    </w:p>
    <w:p w14:paraId="3B49DD63">
      <w:pPr>
        <w:pStyle w:val="6"/>
        <w:rPr>
          <w:rFonts w:hint="eastAsia"/>
        </w:rPr>
        <w:sectPr>
          <w:pgSz w:w="11906" w:h="16838"/>
          <w:pgMar w:top="1474" w:right="1474" w:bottom="1474" w:left="1474" w:header="851" w:footer="992" w:gutter="0"/>
          <w:pgNumType w:fmt="decimal"/>
          <w:cols w:space="720" w:num="1"/>
          <w:docGrid w:type="lines" w:linePitch="312" w:charSpace="0"/>
        </w:sectPr>
      </w:pPr>
    </w:p>
    <w:p w14:paraId="568811E6">
      <w:pPr>
        <w:pStyle w:val="5"/>
        <w:pageBreakBefore w:val="0"/>
        <w:kinsoku/>
        <w:overflowPunct/>
        <w:topLinePunct w:val="0"/>
        <w:bidi w:val="0"/>
        <w:spacing w:line="594" w:lineRule="exact"/>
        <w:rPr>
          <w:rFonts w:hint="eastAsia"/>
          <w:color w:val="auto"/>
        </w:rPr>
      </w:pPr>
    </w:p>
    <w:p w14:paraId="0DB91AB9">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院内遴选采购</w:t>
      </w:r>
    </w:p>
    <w:p w14:paraId="1915C58D">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A46F204">
      <w:pPr>
        <w:pStyle w:val="10"/>
        <w:pageBreakBefore w:val="0"/>
        <w:kinsoku/>
        <w:overflowPunct/>
        <w:topLinePunct w:val="0"/>
        <w:bidi w:val="0"/>
        <w:spacing w:line="594" w:lineRule="exact"/>
        <w:rPr>
          <w:rFonts w:hint="eastAsia"/>
          <w:color w:val="auto"/>
          <w:lang w:eastAsia="zh-CN"/>
        </w:rPr>
      </w:pPr>
    </w:p>
    <w:p w14:paraId="793A9698">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495CC8FA">
      <w:pPr>
        <w:pStyle w:val="10"/>
        <w:pageBreakBefore w:val="0"/>
        <w:kinsoku/>
        <w:overflowPunct/>
        <w:topLinePunct w:val="0"/>
        <w:bidi w:val="0"/>
        <w:spacing w:line="594" w:lineRule="exact"/>
        <w:rPr>
          <w:rFonts w:hint="eastAsia"/>
          <w:color w:val="auto"/>
          <w:lang w:eastAsia="zh-CN"/>
        </w:rPr>
      </w:pPr>
    </w:p>
    <w:p w14:paraId="1F334225">
      <w:pPr>
        <w:pStyle w:val="12"/>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免陪照护服务第三方公司遴选项目</w:t>
      </w:r>
    </w:p>
    <w:p w14:paraId="3F0E09F9">
      <w:pPr>
        <w:pStyle w:val="12"/>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DE070B4">
      <w:pPr>
        <w:pStyle w:val="12"/>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HNTJRY-LX2026-001</w:t>
      </w:r>
    </w:p>
    <w:p w14:paraId="5175273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637FB12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1E92222C">
      <w:pPr>
        <w:pStyle w:val="10"/>
        <w:pageBreakBefore w:val="0"/>
        <w:kinsoku/>
        <w:overflowPunct/>
        <w:topLinePunct w:val="0"/>
        <w:bidi w:val="0"/>
        <w:spacing w:line="594" w:lineRule="exact"/>
        <w:ind w:left="0" w:leftChars="0" w:firstLine="0" w:firstLineChars="0"/>
        <w:rPr>
          <w:rFonts w:hint="eastAsia"/>
          <w:color w:val="auto"/>
          <w:lang w:eastAsia="zh-CN"/>
        </w:rPr>
      </w:pPr>
    </w:p>
    <w:p w14:paraId="6FBA2C37">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1CC8F3F4">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3428DFA8">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遴选</w:t>
      </w:r>
      <w:r>
        <w:rPr>
          <w:rFonts w:hint="eastAsia" w:ascii="方正仿宋_GB2312" w:hAnsi="方正仿宋_GB2312" w:eastAsia="方正仿宋_GB2312" w:cs="方正仿宋_GB2312"/>
          <w:color w:val="auto"/>
          <w:sz w:val="28"/>
          <w:szCs w:val="28"/>
          <w:highlight w:val="none"/>
        </w:rPr>
        <w:t>文件的</w:t>
      </w:r>
      <w:r>
        <w:rPr>
          <w:rFonts w:hint="eastAsia" w:ascii="方正仿宋_GB2312" w:hAnsi="方正仿宋_GB2312" w:eastAsia="方正仿宋_GB2312" w:cs="方正仿宋_GB2312"/>
          <w:color w:val="auto"/>
          <w:sz w:val="28"/>
          <w:szCs w:val="28"/>
          <w:highlight w:val="none"/>
          <w:lang w:val="en-US" w:eastAsia="zh-CN"/>
        </w:rPr>
        <w:t>承诺价格提供免陪照护</w:t>
      </w:r>
      <w:r>
        <w:rPr>
          <w:rFonts w:hint="eastAsia" w:ascii="方正仿宋_GB2312" w:hAnsi="方正仿宋_GB2312" w:eastAsia="方正仿宋_GB2312" w:cs="方正仿宋_GB2312"/>
          <w:color w:val="auto"/>
          <w:sz w:val="28"/>
          <w:szCs w:val="28"/>
          <w:highlight w:val="none"/>
        </w:rPr>
        <w:t>。</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遴选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遴选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2"/>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2"/>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遴选文件</w:t>
      </w:r>
      <w:r>
        <w:rPr>
          <w:rFonts w:hint="eastAsia" w:ascii="方正仿宋_GB2312" w:hAnsi="方正仿宋_GB2312" w:eastAsia="方正仿宋_GB2312" w:cs="方正仿宋_GB2312"/>
          <w:color w:val="auto"/>
          <w:sz w:val="28"/>
          <w:szCs w:val="28"/>
        </w:rPr>
        <w:t>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7A69AD5D">
      <w:pPr>
        <w:pStyle w:val="12"/>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7F28F16B">
      <w:pPr>
        <w:pStyle w:val="12"/>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2B0BE3D">
      <w:pPr>
        <w:pStyle w:val="12"/>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3B6A9F6">
      <w:pPr>
        <w:pStyle w:val="12"/>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CAE733C">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4BCEC6D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5C3FF728">
      <w:pPr>
        <w:rPr>
          <w:rFonts w:hint="eastAsia"/>
          <w:color w:val="auto"/>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6D14A11">
      <w:pPr>
        <w:pStyle w:val="17"/>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74F1018C">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3B1AFF75">
      <w:pPr>
        <w:pageBreakBefore w:val="0"/>
        <w:kinsoku/>
        <w:overflowPunct/>
        <w:topLinePunct w:val="0"/>
        <w:bidi w:val="0"/>
        <w:spacing w:line="594" w:lineRule="exact"/>
        <w:rPr>
          <w:rFonts w:hint="eastAsia"/>
          <w:color w:val="auto"/>
        </w:rPr>
      </w:pPr>
      <w:r>
        <w:rPr>
          <w:rFonts w:hint="eastAsia"/>
          <w:color w:val="auto"/>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383D0F">
      <w:pPr>
        <w:pStyle w:val="12"/>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02C67F6F">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035E216F">
      <w:pPr>
        <w:rPr>
          <w:rFonts w:hint="eastAsia"/>
          <w:color w:val="auto"/>
        </w:rPr>
      </w:pP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A7730C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1AC68F6A">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0AD6E2DD">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1C2FF4E">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F73F958">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318C40">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CD007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0E24CF4">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7C464583">
      <w:pPr>
        <w:pStyle w:val="10"/>
        <w:pageBreakBefore w:val="0"/>
        <w:kinsoku/>
        <w:overflowPunct/>
        <w:topLinePunct w:val="0"/>
        <w:bidi w:val="0"/>
        <w:spacing w:line="594" w:lineRule="exact"/>
        <w:rPr>
          <w:rFonts w:hint="eastAsia" w:ascii="宋体"/>
          <w:b/>
          <w:bCs/>
          <w:color w:val="auto"/>
        </w:rPr>
      </w:pPr>
    </w:p>
    <w:p w14:paraId="174AE8D7">
      <w:pPr>
        <w:pStyle w:val="5"/>
        <w:pageBreakBefore w:val="0"/>
        <w:kinsoku/>
        <w:overflowPunct/>
        <w:topLinePunct w:val="0"/>
        <w:bidi w:val="0"/>
        <w:spacing w:line="594" w:lineRule="exact"/>
        <w:rPr>
          <w:rFonts w:hint="eastAsia" w:ascii="宋体"/>
          <w:b/>
          <w:bCs/>
          <w:color w:val="auto"/>
        </w:rPr>
      </w:pPr>
    </w:p>
    <w:p w14:paraId="0179E8CC">
      <w:pPr>
        <w:pStyle w:val="6"/>
        <w:pageBreakBefore w:val="0"/>
        <w:kinsoku/>
        <w:overflowPunct/>
        <w:topLinePunct w:val="0"/>
        <w:bidi w:val="0"/>
        <w:spacing w:line="594" w:lineRule="exact"/>
        <w:rPr>
          <w:rFonts w:hint="eastAsia" w:ascii="宋体"/>
          <w:b/>
          <w:bCs/>
          <w:color w:val="auto"/>
        </w:rPr>
      </w:pPr>
    </w:p>
    <w:p w14:paraId="61F17DC8">
      <w:pPr>
        <w:pStyle w:val="6"/>
        <w:pageBreakBefore w:val="0"/>
        <w:kinsoku/>
        <w:overflowPunct/>
        <w:topLinePunct w:val="0"/>
        <w:bidi w:val="0"/>
        <w:spacing w:line="594" w:lineRule="exact"/>
        <w:rPr>
          <w:rFonts w:hint="eastAsia" w:ascii="宋体"/>
          <w:b/>
          <w:bCs/>
          <w:color w:val="auto"/>
        </w:rPr>
      </w:pPr>
    </w:p>
    <w:p w14:paraId="72E3F380">
      <w:pPr>
        <w:pStyle w:val="6"/>
        <w:pageBreakBefore w:val="0"/>
        <w:kinsoku/>
        <w:overflowPunct/>
        <w:topLinePunct w:val="0"/>
        <w:bidi w:val="0"/>
        <w:spacing w:line="594" w:lineRule="exact"/>
        <w:rPr>
          <w:rFonts w:hint="eastAsia" w:ascii="宋体"/>
          <w:b/>
          <w:bCs/>
          <w:color w:val="auto"/>
        </w:rPr>
      </w:pPr>
    </w:p>
    <w:p w14:paraId="4256F304">
      <w:pPr>
        <w:pStyle w:val="6"/>
        <w:pageBreakBefore w:val="0"/>
        <w:kinsoku/>
        <w:overflowPunct/>
        <w:topLinePunct w:val="0"/>
        <w:bidi w:val="0"/>
        <w:spacing w:line="594" w:lineRule="exact"/>
        <w:rPr>
          <w:rFonts w:hint="eastAsia" w:ascii="宋体"/>
          <w:b/>
          <w:bCs/>
          <w:color w:val="auto"/>
        </w:rPr>
      </w:pPr>
    </w:p>
    <w:p w14:paraId="10F03E09">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6D1E7FE2">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4B762A91">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81EC98D">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（七）响应承诺函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遴选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响应遴选</w:t>
      </w:r>
      <w:r>
        <w:rPr>
          <w:rFonts w:hint="eastAsia" w:ascii="方正仿宋_GB2312" w:hAnsi="方正仿宋_GB2312" w:eastAsia="方正仿宋_GB2312" w:cs="方正仿宋_GB2312"/>
          <w:color w:val="auto"/>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遴选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（三）我公司完全</w:t>
      </w:r>
      <w:r>
        <w:rPr>
          <w:rFonts w:hint="eastAsia" w:ascii="方正仿宋_GB2312" w:hAnsi="方正仿宋_GB2312" w:eastAsia="方正仿宋_GB2312" w:cs="方正仿宋_GB2312"/>
          <w:color w:val="auto"/>
          <w:sz w:val="28"/>
          <w:szCs w:val="28"/>
          <w:lang w:val="en-US" w:eastAsia="zh-CN"/>
        </w:rPr>
        <w:t>响应并</w:t>
      </w:r>
      <w:r>
        <w:rPr>
          <w:rFonts w:hint="eastAsia" w:ascii="方正仿宋_GB2312" w:hAnsi="方正仿宋_GB2312" w:eastAsia="方正仿宋_GB2312" w:cs="方正仿宋_GB2312"/>
          <w:color w:val="auto"/>
          <w:sz w:val="28"/>
          <w:szCs w:val="28"/>
        </w:rPr>
        <w:t>满足</w:t>
      </w:r>
      <w:r>
        <w:rPr>
          <w:rFonts w:hint="eastAsia" w:ascii="方正仿宋_GB2312" w:hAnsi="方正仿宋_GB2312" w:eastAsia="方正仿宋_GB2312" w:cs="方正仿宋_GB2312"/>
          <w:color w:val="auto"/>
          <w:sz w:val="28"/>
          <w:szCs w:val="28"/>
          <w:lang w:eastAsia="zh-CN"/>
        </w:rPr>
        <w:t>遴选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w:t>
      </w:r>
      <w:r>
        <w:rPr>
          <w:rFonts w:hint="eastAsia" w:ascii="方正仿宋_GB2312" w:hAnsi="方正仿宋_GB2312" w:eastAsia="方正仿宋_GB2312" w:cs="方正仿宋_GB2312"/>
          <w:color w:val="auto"/>
          <w:sz w:val="28"/>
          <w:szCs w:val="28"/>
          <w:lang w:val="en-US" w:eastAsia="zh-CN"/>
        </w:rPr>
        <w:t>采购</w:t>
      </w:r>
      <w:r>
        <w:rPr>
          <w:rFonts w:hint="eastAsia" w:ascii="方正仿宋_GB2312" w:hAnsi="方正仿宋_GB2312" w:eastAsia="方正仿宋_GB2312" w:cs="方正仿宋_GB2312"/>
          <w:color w:val="auto"/>
          <w:sz w:val="28"/>
          <w:szCs w:val="28"/>
        </w:rPr>
        <w:t>过程中，我方若有违规行为，贵方可按</w:t>
      </w:r>
      <w:r>
        <w:rPr>
          <w:rFonts w:hint="eastAsia" w:ascii="方正仿宋_GB2312" w:hAnsi="方正仿宋_GB2312" w:eastAsia="方正仿宋_GB2312" w:cs="方正仿宋_GB2312"/>
          <w:color w:val="auto"/>
          <w:sz w:val="28"/>
          <w:szCs w:val="28"/>
          <w:lang w:eastAsia="zh-CN"/>
        </w:rPr>
        <w:t>遴选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7493B47">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17" w:name="_Toc34758614"/>
      <w:r>
        <w:rPr>
          <w:rFonts w:hint="eastAsia" w:ascii="方正公文小标宋" w:hAnsi="方正公文小标宋" w:eastAsia="方正公文小标宋" w:cs="方正公文小标宋"/>
          <w:b w:val="0"/>
          <w:bCs w:val="0"/>
          <w:color w:val="auto"/>
          <w:sz w:val="36"/>
          <w:szCs w:val="36"/>
          <w:lang w:val="en-US" w:eastAsia="zh-CN"/>
        </w:rPr>
        <w:t>（八）采购需求响应/偏离表</w:t>
      </w:r>
      <w:bookmarkEnd w:id="17"/>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20"/>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034EE788">
            <w:pPr>
              <w:pageBreakBefore w:val="0"/>
              <w:kinsoku/>
              <w:overflowPunct/>
              <w:topLinePunct w:val="0"/>
              <w:bidi w:val="0"/>
              <w:spacing w:line="594" w:lineRule="exact"/>
              <w:jc w:val="center"/>
              <w:rPr>
                <w:color w:val="auto"/>
              </w:rPr>
            </w:pPr>
            <w:r>
              <w:rPr>
                <w:rFonts w:hint="eastAsia"/>
                <w:color w:val="auto"/>
                <w:lang w:eastAsia="zh-CN"/>
              </w:rPr>
              <w:t>遴选</w:t>
            </w:r>
            <w:r>
              <w:rPr>
                <w:rFonts w:hint="eastAsia"/>
                <w:color w:val="auto"/>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rPr>
                <w:color w:val="auto"/>
              </w:rPr>
            </w:pPr>
            <w:r>
              <w:rPr>
                <w:rFonts w:hint="eastAsia"/>
                <w:color w:val="auto"/>
                <w:lang w:eastAsia="zh-CN"/>
              </w:rPr>
              <w:t>遴选</w:t>
            </w:r>
            <w:r>
              <w:rPr>
                <w:rFonts w:hint="eastAsia"/>
                <w:color w:val="auto"/>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466DBC49">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rPr>
                <w:color w:val="auto"/>
              </w:rPr>
            </w:pPr>
          </w:p>
        </w:tc>
        <w:tc>
          <w:tcPr>
            <w:tcW w:w="2713" w:type="dxa"/>
            <w:vAlign w:val="center"/>
          </w:tcPr>
          <w:p w14:paraId="2CC23F68">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rPr>
                <w:color w:val="auto"/>
              </w:rPr>
            </w:pPr>
          </w:p>
        </w:tc>
        <w:tc>
          <w:tcPr>
            <w:tcW w:w="1589" w:type="dxa"/>
            <w:vAlign w:val="center"/>
          </w:tcPr>
          <w:p w14:paraId="38D95DB7">
            <w:pPr>
              <w:pageBreakBefore w:val="0"/>
              <w:kinsoku/>
              <w:overflowPunct/>
              <w:topLinePunct w:val="0"/>
              <w:bidi w:val="0"/>
              <w:spacing w:line="594" w:lineRule="exact"/>
              <w:jc w:val="center"/>
              <w:rPr>
                <w:color w:val="auto"/>
              </w:rP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rPr>
                <w:color w:val="auto"/>
              </w:rPr>
            </w:pPr>
          </w:p>
        </w:tc>
        <w:tc>
          <w:tcPr>
            <w:tcW w:w="2713" w:type="dxa"/>
            <w:vAlign w:val="center"/>
          </w:tcPr>
          <w:p w14:paraId="46DC8F67">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rPr>
                <w:color w:val="auto"/>
              </w:rPr>
            </w:pPr>
          </w:p>
        </w:tc>
        <w:tc>
          <w:tcPr>
            <w:tcW w:w="1589" w:type="dxa"/>
            <w:vAlign w:val="center"/>
          </w:tcPr>
          <w:p w14:paraId="2098701B">
            <w:pPr>
              <w:pageBreakBefore w:val="0"/>
              <w:kinsoku/>
              <w:overflowPunct/>
              <w:topLinePunct w:val="0"/>
              <w:bidi w:val="0"/>
              <w:spacing w:line="594" w:lineRule="exact"/>
              <w:jc w:val="center"/>
              <w:rPr>
                <w:color w:val="auto"/>
              </w:rPr>
            </w:pPr>
          </w:p>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rPr>
                <w:color w:val="auto"/>
              </w:rPr>
            </w:pPr>
          </w:p>
        </w:tc>
        <w:tc>
          <w:tcPr>
            <w:tcW w:w="2713" w:type="dxa"/>
            <w:vAlign w:val="center"/>
          </w:tcPr>
          <w:p w14:paraId="56FCA27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7ABE4196">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遴选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rPr>
                <w:color w:val="auto"/>
              </w:rPr>
            </w:pPr>
          </w:p>
        </w:tc>
        <w:tc>
          <w:tcPr>
            <w:tcW w:w="2713" w:type="dxa"/>
            <w:vAlign w:val="center"/>
          </w:tcPr>
          <w:p w14:paraId="6B351C33">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rPr>
                <w:color w:val="auto"/>
              </w:rP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遴选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4DC7F392">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遴选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遴选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24B679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14:paraId="69A21BA5">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遴选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2D2E4EE">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（九）服务方案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项目整体思路及服务方案、人员岗位职责及服务流程方案、人员培训与持续教育方案、免陪照护病房管理方案、服务质量保证体系方案、突发事件应急处理预案、承诺函等）进行提供，格式自拟。</w:t>
      </w:r>
    </w:p>
    <w:p w14:paraId="66309906">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14:paraId="1A04697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46EA873">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C12B123-04A7-4553-A59B-8913E8D6048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42BC0EE-2DA7-4C49-B628-CC0F021C28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C273E5D9-0FE1-4AD5-BC04-5B1996D4C61F}"/>
  </w:font>
  <w:font w:name="方正楷体_GB2312">
    <w:panose1 w:val="02000000000000000000"/>
    <w:charset w:val="86"/>
    <w:family w:val="auto"/>
    <w:pitch w:val="default"/>
    <w:sig w:usb0="A00002BF" w:usb1="184F6CFA" w:usb2="00000012" w:usb3="00000000" w:csb0="00040001" w:csb1="00000000"/>
    <w:embedRegular r:id="rId4" w:fontKey="{5C96A8D4-6B4A-4E0F-BE30-7E17368B1A42}"/>
  </w:font>
  <w:font w:name="方正仿宋_GB2312">
    <w:panose1 w:val="02000000000000000000"/>
    <w:charset w:val="86"/>
    <w:family w:val="auto"/>
    <w:pitch w:val="default"/>
    <w:sig w:usb0="A00002BF" w:usb1="184F6CFA" w:usb2="00000012" w:usb3="00000000" w:csb0="00040001" w:csb1="00000000"/>
    <w:embedRegular r:id="rId5" w:fontKey="{9EE2E62F-F3A5-4FB4-ABBA-D81C4361773B}"/>
  </w:font>
  <w:font w:name="仿宋_GB2312">
    <w:panose1 w:val="02010609030101010101"/>
    <w:charset w:val="86"/>
    <w:family w:val="auto"/>
    <w:pitch w:val="default"/>
    <w:sig w:usb0="00000001" w:usb1="080E0000" w:usb2="00000000" w:usb3="00000000" w:csb0="00040000" w:csb1="00000000"/>
    <w:embedRegular r:id="rId6" w:fontKey="{C36942AA-916E-47F1-9E13-CC870448FEB0}"/>
  </w:font>
  <w:font w:name="微软雅黑">
    <w:panose1 w:val="020B0503020204020204"/>
    <w:charset w:val="86"/>
    <w:family w:val="auto"/>
    <w:pitch w:val="default"/>
    <w:sig w:usb0="80000287" w:usb1="2ACF3C50" w:usb2="00000016" w:usb3="00000000" w:csb0="0004001F" w:csb1="00000000"/>
    <w:embedRegular r:id="rId7" w:fontKey="{B24DE5C6-F913-48C5-820C-01C7AC667E4F}"/>
  </w:font>
  <w:font w:name="楷体_GB2312">
    <w:panose1 w:val="02010609030101010101"/>
    <w:charset w:val="86"/>
    <w:family w:val="auto"/>
    <w:pitch w:val="default"/>
    <w:sig w:usb0="00000001" w:usb1="080E0000" w:usb2="00000000" w:usb3="00000000" w:csb0="00040000" w:csb1="00000000"/>
    <w:embedRegular r:id="rId8" w:fontKey="{7834FA98-AB7A-4405-B570-A208EB50DD74}"/>
  </w:font>
  <w:font w:name="Segoe UI">
    <w:panose1 w:val="020B0502040204020203"/>
    <w:charset w:val="00"/>
    <w:family w:val="auto"/>
    <w:pitch w:val="default"/>
    <w:sig w:usb0="E4002EFF" w:usb1="C000E47F" w:usb2="00000009" w:usb3="00000000" w:csb0="200001FF" w:csb1="00000000"/>
    <w:embedRegular r:id="rId9" w:fontKey="{3A3FA874-24C5-4C96-B72C-4BEF6A40E4B2}"/>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23AC">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2D785">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2D785">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5"/>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16043AA"/>
    <w:rsid w:val="037C12FE"/>
    <w:rsid w:val="04A20C84"/>
    <w:rsid w:val="04DF1A8A"/>
    <w:rsid w:val="052851DF"/>
    <w:rsid w:val="057E2ACE"/>
    <w:rsid w:val="06072398"/>
    <w:rsid w:val="07217D65"/>
    <w:rsid w:val="07863D8C"/>
    <w:rsid w:val="082E26DE"/>
    <w:rsid w:val="0A684BF5"/>
    <w:rsid w:val="0BA96AD9"/>
    <w:rsid w:val="0BC35DFF"/>
    <w:rsid w:val="0BF702D5"/>
    <w:rsid w:val="0D1A2232"/>
    <w:rsid w:val="0E127F0B"/>
    <w:rsid w:val="0E504C44"/>
    <w:rsid w:val="108A1444"/>
    <w:rsid w:val="111F7DDE"/>
    <w:rsid w:val="119F484E"/>
    <w:rsid w:val="122E5DFF"/>
    <w:rsid w:val="13741F37"/>
    <w:rsid w:val="147F1FCF"/>
    <w:rsid w:val="154452C7"/>
    <w:rsid w:val="15B81F64"/>
    <w:rsid w:val="160E6919"/>
    <w:rsid w:val="16A0497A"/>
    <w:rsid w:val="16C1151A"/>
    <w:rsid w:val="171D5043"/>
    <w:rsid w:val="188B2D40"/>
    <w:rsid w:val="18DC41C7"/>
    <w:rsid w:val="1A960F3D"/>
    <w:rsid w:val="1B0754D1"/>
    <w:rsid w:val="1B6B1CB2"/>
    <w:rsid w:val="1B9853FB"/>
    <w:rsid w:val="1BCD0437"/>
    <w:rsid w:val="1BEA1453"/>
    <w:rsid w:val="1BEF65FF"/>
    <w:rsid w:val="1C071B9A"/>
    <w:rsid w:val="1D2C75DA"/>
    <w:rsid w:val="1E0F1FE5"/>
    <w:rsid w:val="1E1A4FD1"/>
    <w:rsid w:val="1E37214D"/>
    <w:rsid w:val="1EB45FDF"/>
    <w:rsid w:val="1FB20D03"/>
    <w:rsid w:val="212963D0"/>
    <w:rsid w:val="224B05FE"/>
    <w:rsid w:val="25466B49"/>
    <w:rsid w:val="275C6D02"/>
    <w:rsid w:val="276B6138"/>
    <w:rsid w:val="28020CF2"/>
    <w:rsid w:val="29852351"/>
    <w:rsid w:val="299504C6"/>
    <w:rsid w:val="2B691A26"/>
    <w:rsid w:val="2B9F3B9D"/>
    <w:rsid w:val="2C060CDD"/>
    <w:rsid w:val="2C2B5AF6"/>
    <w:rsid w:val="2CD1750E"/>
    <w:rsid w:val="2D021844"/>
    <w:rsid w:val="2D093573"/>
    <w:rsid w:val="2D6849AB"/>
    <w:rsid w:val="2D6E0530"/>
    <w:rsid w:val="2DB27F09"/>
    <w:rsid w:val="2DE27D71"/>
    <w:rsid w:val="2DED780C"/>
    <w:rsid w:val="2E140D45"/>
    <w:rsid w:val="2E5D5C33"/>
    <w:rsid w:val="2E823320"/>
    <w:rsid w:val="2EED290E"/>
    <w:rsid w:val="30317CF7"/>
    <w:rsid w:val="306D14E6"/>
    <w:rsid w:val="30C9273C"/>
    <w:rsid w:val="30ED7C07"/>
    <w:rsid w:val="31174CFA"/>
    <w:rsid w:val="31A43590"/>
    <w:rsid w:val="3393449F"/>
    <w:rsid w:val="34AF5A8D"/>
    <w:rsid w:val="34DC7903"/>
    <w:rsid w:val="34FB6E74"/>
    <w:rsid w:val="355E0787"/>
    <w:rsid w:val="35B1670F"/>
    <w:rsid w:val="35BC359E"/>
    <w:rsid w:val="38546BD3"/>
    <w:rsid w:val="38B303AD"/>
    <w:rsid w:val="38F45119"/>
    <w:rsid w:val="398F308A"/>
    <w:rsid w:val="3A080B60"/>
    <w:rsid w:val="3AF31A4C"/>
    <w:rsid w:val="3BC52F1E"/>
    <w:rsid w:val="3BC76989"/>
    <w:rsid w:val="3BD258C9"/>
    <w:rsid w:val="3C0D3013"/>
    <w:rsid w:val="3EBD5E03"/>
    <w:rsid w:val="3F871FA1"/>
    <w:rsid w:val="40381A73"/>
    <w:rsid w:val="40E71D8C"/>
    <w:rsid w:val="41444556"/>
    <w:rsid w:val="42F62F94"/>
    <w:rsid w:val="433035FF"/>
    <w:rsid w:val="43364276"/>
    <w:rsid w:val="43DF41E8"/>
    <w:rsid w:val="443446F0"/>
    <w:rsid w:val="468350BA"/>
    <w:rsid w:val="46880B92"/>
    <w:rsid w:val="47597141"/>
    <w:rsid w:val="47D32BAD"/>
    <w:rsid w:val="480837BF"/>
    <w:rsid w:val="481008B4"/>
    <w:rsid w:val="489060B1"/>
    <w:rsid w:val="4944592C"/>
    <w:rsid w:val="494D0675"/>
    <w:rsid w:val="4CDE5710"/>
    <w:rsid w:val="4D3F2693"/>
    <w:rsid w:val="4D4013D7"/>
    <w:rsid w:val="4E925D32"/>
    <w:rsid w:val="4F507A1C"/>
    <w:rsid w:val="503D16A3"/>
    <w:rsid w:val="50520089"/>
    <w:rsid w:val="51EF7AC4"/>
    <w:rsid w:val="529C602F"/>
    <w:rsid w:val="534E663E"/>
    <w:rsid w:val="53530A58"/>
    <w:rsid w:val="540C066A"/>
    <w:rsid w:val="55D03827"/>
    <w:rsid w:val="56725887"/>
    <w:rsid w:val="585437B0"/>
    <w:rsid w:val="586D424A"/>
    <w:rsid w:val="58945FCD"/>
    <w:rsid w:val="593D6327"/>
    <w:rsid w:val="5A9A2C4E"/>
    <w:rsid w:val="5AA85494"/>
    <w:rsid w:val="5B257C13"/>
    <w:rsid w:val="5B274F05"/>
    <w:rsid w:val="5B552247"/>
    <w:rsid w:val="5C007491"/>
    <w:rsid w:val="5EB35FFD"/>
    <w:rsid w:val="5F401426"/>
    <w:rsid w:val="607B17DC"/>
    <w:rsid w:val="611A4366"/>
    <w:rsid w:val="61725115"/>
    <w:rsid w:val="623954AB"/>
    <w:rsid w:val="641C6E32"/>
    <w:rsid w:val="64784CB8"/>
    <w:rsid w:val="64CC2606"/>
    <w:rsid w:val="65B80847"/>
    <w:rsid w:val="66AA497C"/>
    <w:rsid w:val="6830572F"/>
    <w:rsid w:val="6A244627"/>
    <w:rsid w:val="6A370DA1"/>
    <w:rsid w:val="6A8E1162"/>
    <w:rsid w:val="6BC36E5C"/>
    <w:rsid w:val="6C2216A6"/>
    <w:rsid w:val="6D0D7944"/>
    <w:rsid w:val="6E192634"/>
    <w:rsid w:val="6EF71ED3"/>
    <w:rsid w:val="6EFB3443"/>
    <w:rsid w:val="6F4A4F05"/>
    <w:rsid w:val="6FEA7B50"/>
    <w:rsid w:val="71E35EF7"/>
    <w:rsid w:val="72FF629D"/>
    <w:rsid w:val="73520AC2"/>
    <w:rsid w:val="73AA2F96"/>
    <w:rsid w:val="73F803E7"/>
    <w:rsid w:val="742C0862"/>
    <w:rsid w:val="743A2D00"/>
    <w:rsid w:val="75251147"/>
    <w:rsid w:val="75B86625"/>
    <w:rsid w:val="761236C0"/>
    <w:rsid w:val="77C83101"/>
    <w:rsid w:val="78A83318"/>
    <w:rsid w:val="79050385"/>
    <w:rsid w:val="790C67CA"/>
    <w:rsid w:val="79C708C0"/>
    <w:rsid w:val="79FE2E4C"/>
    <w:rsid w:val="7B3B008E"/>
    <w:rsid w:val="7BE41311"/>
    <w:rsid w:val="7C8927E1"/>
    <w:rsid w:val="7C9A1517"/>
    <w:rsid w:val="7CEE468D"/>
    <w:rsid w:val="7CF130FA"/>
    <w:rsid w:val="7D825281"/>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semiHidden/>
    <w:unhideWhenUsed/>
    <w:qFormat/>
    <w:uiPriority w:val="99"/>
    <w:pPr>
      <w:widowControl/>
      <w:ind w:firstLine="420"/>
      <w:jc w:val="left"/>
    </w:pPr>
    <w:rPr>
      <w:kern w:val="0"/>
      <w:sz w:val="20"/>
      <w:szCs w:val="20"/>
    </w:rPr>
  </w:style>
  <w:style w:type="paragraph" w:customStyle="1" w:styleId="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7">
    <w:name w:val="annotation text"/>
    <w:basedOn w:val="1"/>
    <w:semiHidden/>
    <w:qFormat/>
    <w:uiPriority w:val="99"/>
    <w:pPr>
      <w:jc w:val="left"/>
    </w:pPr>
  </w:style>
  <w:style w:type="paragraph" w:styleId="8">
    <w:name w:val="Body Text"/>
    <w:basedOn w:val="1"/>
    <w:next w:val="1"/>
    <w:autoRedefine/>
    <w:semiHidden/>
    <w:unhideWhenUsed/>
    <w:qFormat/>
    <w:uiPriority w:val="99"/>
    <w:pPr>
      <w:spacing w:after="120"/>
    </w:pPr>
  </w:style>
  <w:style w:type="paragraph" w:styleId="9">
    <w:name w:val="Body Text Indent"/>
    <w:basedOn w:val="1"/>
    <w:next w:val="10"/>
    <w:autoRedefine/>
    <w:semiHidden/>
    <w:unhideWhenUsed/>
    <w:qFormat/>
    <w:uiPriority w:val="99"/>
    <w:pPr>
      <w:spacing w:after="120"/>
      <w:ind w:left="420" w:leftChars="200"/>
    </w:pPr>
  </w:style>
  <w:style w:type="paragraph" w:styleId="10">
    <w:name w:val="Body Text First Indent 2"/>
    <w:basedOn w:val="9"/>
    <w:next w:val="5"/>
    <w:autoRedefine/>
    <w:semiHidden/>
    <w:unhideWhenUsed/>
    <w:qFormat/>
    <w:uiPriority w:val="99"/>
    <w:pPr>
      <w:ind w:firstLine="420" w:firstLineChars="200"/>
    </w:pPr>
  </w:style>
  <w:style w:type="paragraph" w:styleId="11">
    <w:name w:val="List 2"/>
    <w:basedOn w:val="1"/>
    <w:next w:val="12"/>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next w:val="1"/>
    <w:autoRedefine/>
    <w:qFormat/>
    <w:uiPriority w:val="0"/>
    <w:rPr>
      <w:rFonts w:ascii="宋体" w:hAnsi="Calibri" w:eastAsia="宋体" w:cs="Times New Roman"/>
      <w:szCs w:val="20"/>
    </w:rPr>
  </w:style>
  <w:style w:type="paragraph" w:styleId="13">
    <w:name w:val="toc 8"/>
    <w:basedOn w:val="1"/>
    <w:next w:val="1"/>
    <w:unhideWhenUsed/>
    <w:qFormat/>
    <w:uiPriority w:val="39"/>
    <w:pPr>
      <w:ind w:left="1470"/>
      <w:jc w:val="left"/>
    </w:pPr>
    <w:rPr>
      <w:rFonts w:cstheme="minorHAnsi"/>
      <w:sz w:val="18"/>
      <w:szCs w:val="18"/>
    </w:rPr>
  </w:style>
  <w:style w:type="paragraph" w:styleId="14">
    <w:name w:val="footer"/>
    <w:basedOn w:val="1"/>
    <w:autoRedefine/>
    <w:unhideWhenUsed/>
    <w:qFormat/>
    <w:uiPriority w:val="99"/>
    <w:pPr>
      <w:snapToGrid w:val="0"/>
      <w:jc w:val="left"/>
    </w:pPr>
    <w:rPr>
      <w:sz w:val="18"/>
      <w:szCs w:val="18"/>
    </w:rPr>
  </w:style>
  <w:style w:type="paragraph" w:styleId="15">
    <w:name w:val="header"/>
    <w:basedOn w:val="1"/>
    <w:next w:val="14"/>
    <w:autoRedefine/>
    <w:unhideWhenUsed/>
    <w:qFormat/>
    <w:uiPriority w:val="99"/>
    <w:pPr>
      <w:pBdr>
        <w:bottom w:val="single" w:color="auto" w:sz="6" w:space="1"/>
      </w:pBdr>
      <w:snapToGrid w:val="0"/>
      <w:jc w:val="center"/>
    </w:pPr>
    <w:rPr>
      <w:sz w:val="18"/>
      <w:szCs w:val="18"/>
    </w:rPr>
  </w:style>
  <w:style w:type="paragraph" w:styleId="16">
    <w:name w:val="toc 1"/>
    <w:basedOn w:val="1"/>
    <w:next w:val="1"/>
    <w:autoRedefine/>
    <w:unhideWhenUsed/>
    <w:qFormat/>
    <w:uiPriority w:val="39"/>
    <w:rPr>
      <w:b/>
    </w:rPr>
  </w:style>
  <w:style w:type="paragraph" w:styleId="1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7"/>
    <w:next w:val="1"/>
    <w:qFormat/>
    <w:uiPriority w:val="99"/>
    <w:rPr>
      <w:b/>
      <w:bCs/>
    </w:rPr>
  </w:style>
  <w:style w:type="paragraph" w:styleId="19">
    <w:name w:val="Body Text First Indent"/>
    <w:basedOn w:val="8"/>
    <w:autoRedefine/>
    <w:qFormat/>
    <w:uiPriority w:val="0"/>
    <w:pPr>
      <w:autoSpaceDE w:val="0"/>
      <w:autoSpaceDN w:val="0"/>
      <w:adjustRightInd w:val="0"/>
      <w:spacing w:line="306" w:lineRule="exact"/>
      <w:ind w:firstLine="454" w:firstLineChars="200"/>
      <w:jc w:val="left"/>
    </w:pPr>
    <w:rPr>
      <w:sz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6">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autoRedefine/>
    <w:qFormat/>
    <w:uiPriority w:val="34"/>
    <w:pPr>
      <w:ind w:firstLine="420" w:firstLineChars="200"/>
    </w:pPr>
  </w:style>
  <w:style w:type="paragraph" w:customStyle="1" w:styleId="28">
    <w:name w:val="Normal_7"/>
    <w:next w:val="29"/>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autoRedefine/>
    <w:unhideWhenUsed/>
    <w:qFormat/>
    <w:uiPriority w:val="99"/>
    <w:pPr>
      <w:ind w:left="420" w:leftChars="200"/>
    </w:pPr>
  </w:style>
  <w:style w:type="paragraph" w:customStyle="1" w:styleId="30">
    <w:name w:val="Table Text"/>
    <w:basedOn w:val="1"/>
    <w:autoRedefine/>
    <w:semiHidden/>
    <w:qFormat/>
    <w:uiPriority w:val="0"/>
    <w:rPr>
      <w:rFonts w:ascii="宋体" w:hAnsi="宋体" w:eastAsia="宋体" w:cs="宋体"/>
      <w:sz w:val="19"/>
      <w:szCs w:val="19"/>
      <w:lang w:val="en-US" w:eastAsia="en-US"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Normal Indent"/>
    <w:basedOn w:val="1"/>
    <w:next w:val="6"/>
    <w:autoRedefine/>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6"/>
    <w:autoRedefine/>
    <w:qFormat/>
    <w:uiPriority w:val="0"/>
    <w:pPr>
      <w:ind w:firstLine="420"/>
    </w:pPr>
    <w:rPr>
      <w:rFonts w:ascii="Times New Roman" w:hAnsi="Times New Roman" w:cs="Times New Roman"/>
      <w:sz w:val="20"/>
      <w:szCs w:val="20"/>
    </w:rPr>
  </w:style>
  <w:style w:type="paragraph" w:customStyle="1" w:styleId="34">
    <w:name w:val="TableOfAuthoring"/>
    <w:basedOn w:val="1"/>
    <w:next w:val="1"/>
    <w:autoRedefine/>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3380</Words>
  <Characters>3597</Characters>
  <Lines>0</Lines>
  <Paragraphs>0</Paragraphs>
  <TotalTime>6</TotalTime>
  <ScaleCrop>false</ScaleCrop>
  <LinksUpToDate>false</LinksUpToDate>
  <CharactersWithSpaces>3928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2025-11-06T03:54:00Z</cp:lastPrinted>
  <dcterms:modified xsi:type="dcterms:W3CDTF">2026-01-28T01:32:08Z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021EF13E95E8489AA797F05E3B256728_13</vt:lpwstr>
  </property>
  <property fmtid="{D5CDD505-2E9C-101B-9397-08002B2CF9AE}" pid="4" name="KSOTemplateDocerSaveRecord">
    <vt:lpwstr>eyJoZGlkIjoiY2UyOTRjNGE4MmJlYWYxODFjYjlhM2NjMmZlMTIwZjgiLCJ1c2VySWQiOiIyMjY3MjMxMTYifQ==</vt:lpwstr>
  </property>
</Properties>
</file>