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64453">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院内采购</w:t>
      </w:r>
    </w:p>
    <w:p w14:paraId="4C1B36BF">
      <w:pPr>
        <w:jc w:val="center"/>
        <w:rPr>
          <w:rFonts w:ascii="宋体" w:hAnsi="宋体"/>
          <w:b/>
          <w:color w:val="auto"/>
          <w:spacing w:val="120"/>
          <w:w w:val="90"/>
          <w:kern w:val="56"/>
          <w:sz w:val="96"/>
          <w:szCs w:val="96"/>
        </w:rPr>
      </w:pPr>
      <w:r>
        <w:rPr>
          <w:rFonts w:hint="eastAsia" w:ascii="方正公文小标宋" w:hAnsi="方正公文小标宋" w:eastAsia="方正公文小标宋" w:cs="方正公文小标宋"/>
          <w:b w:val="0"/>
          <w:bCs/>
          <w:color w:val="auto"/>
          <w:spacing w:val="120"/>
          <w:w w:val="90"/>
          <w:kern w:val="56"/>
          <w:sz w:val="96"/>
          <w:szCs w:val="96"/>
        </w:rPr>
        <w:t>比选文件</w:t>
      </w:r>
    </w:p>
    <w:p w14:paraId="50547FB4">
      <w:pPr>
        <w:jc w:val="center"/>
        <w:rPr>
          <w:rFonts w:hint="eastAsia" w:ascii="宋体" w:hAnsi="宋体"/>
          <w:color w:val="auto"/>
          <w:spacing w:val="40"/>
          <w:sz w:val="44"/>
          <w:szCs w:val="44"/>
        </w:rPr>
      </w:pPr>
    </w:p>
    <w:p w14:paraId="46760B0D">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03A0CF4F">
      <w:pPr>
        <w:jc w:val="both"/>
        <w:rPr>
          <w:rFonts w:hint="eastAsia" w:ascii="宋体" w:hAnsi="宋体"/>
          <w:color w:val="auto"/>
          <w:spacing w:val="40"/>
          <w:sz w:val="44"/>
          <w:szCs w:val="44"/>
        </w:rPr>
      </w:pPr>
    </w:p>
    <w:p w14:paraId="6A4369E0">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7C15D4E2">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电梯年度维保服务采购项目</w:t>
      </w:r>
    </w:p>
    <w:p w14:paraId="259CC571">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rPr>
        <w:t xml:space="preserve">采   购 </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 xml:space="preserve"> 人：</w:t>
      </w:r>
      <w:r>
        <w:rPr>
          <w:rFonts w:hint="eastAsia" w:ascii="黑体" w:hAnsi="黑体" w:eastAsia="黑体" w:cs="黑体"/>
          <w:b w:val="0"/>
          <w:bCs w:val="0"/>
          <w:color w:val="auto"/>
          <w:sz w:val="36"/>
          <w:szCs w:val="36"/>
          <w:u w:val="single"/>
          <w:lang w:eastAsia="zh-CN"/>
        </w:rPr>
        <w:t>桃江县人民医院</w:t>
      </w:r>
    </w:p>
    <w:p w14:paraId="36C2AA2E">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w:t>
      </w:r>
      <w:r>
        <w:rPr>
          <w:rFonts w:hint="eastAsia" w:ascii="黑体" w:hAnsi="黑体" w:eastAsia="黑体" w:cs="黑体"/>
          <w:b w:val="0"/>
          <w:bCs w:val="0"/>
          <w:color w:val="auto"/>
          <w:sz w:val="36"/>
          <w:szCs w:val="36"/>
        </w:rPr>
        <w:t>编号：</w:t>
      </w:r>
      <w:r>
        <w:rPr>
          <w:rFonts w:hint="eastAsia" w:ascii="黑体" w:hAnsi="黑体" w:eastAsia="黑体" w:cs="黑体"/>
          <w:b w:val="0"/>
          <w:bCs w:val="0"/>
          <w:color w:val="auto"/>
          <w:sz w:val="36"/>
          <w:szCs w:val="36"/>
          <w:u w:val="single"/>
          <w:lang w:eastAsia="zh-CN"/>
        </w:rPr>
        <w:t>HNTJRY-TJ202</w:t>
      </w:r>
      <w:r>
        <w:rPr>
          <w:rFonts w:hint="eastAsia" w:ascii="黑体" w:hAnsi="黑体" w:eastAsia="黑体" w:cs="黑体"/>
          <w:b w:val="0"/>
          <w:bCs w:val="0"/>
          <w:color w:val="auto"/>
          <w:sz w:val="36"/>
          <w:szCs w:val="36"/>
          <w:u w:val="single"/>
          <w:lang w:val="en-US" w:eastAsia="zh-CN"/>
        </w:rPr>
        <w:t>6</w:t>
      </w:r>
      <w:r>
        <w:rPr>
          <w:rFonts w:hint="eastAsia" w:ascii="黑体" w:hAnsi="黑体" w:eastAsia="黑体" w:cs="黑体"/>
          <w:b w:val="0"/>
          <w:bCs w:val="0"/>
          <w:color w:val="auto"/>
          <w:sz w:val="36"/>
          <w:szCs w:val="36"/>
          <w:u w:val="single"/>
          <w:lang w:eastAsia="zh-CN"/>
        </w:rPr>
        <w:t>-0</w:t>
      </w:r>
      <w:r>
        <w:rPr>
          <w:rFonts w:hint="eastAsia" w:ascii="黑体" w:hAnsi="黑体" w:eastAsia="黑体" w:cs="黑体"/>
          <w:b w:val="0"/>
          <w:bCs w:val="0"/>
          <w:color w:val="auto"/>
          <w:sz w:val="36"/>
          <w:szCs w:val="36"/>
          <w:u w:val="single"/>
          <w:lang w:val="en-US" w:eastAsia="zh-CN"/>
        </w:rPr>
        <w:t>01</w:t>
      </w:r>
    </w:p>
    <w:p w14:paraId="1B7C8A8F">
      <w:pPr>
        <w:spacing w:line="360" w:lineRule="auto"/>
        <w:jc w:val="both"/>
        <w:rPr>
          <w:rFonts w:hint="eastAsia" w:ascii="黑体" w:hAnsi="黑体" w:eastAsia="黑体" w:cs="黑体"/>
          <w:color w:val="auto"/>
          <w:sz w:val="32"/>
          <w:szCs w:val="32"/>
          <w:lang w:eastAsia="zh-CN"/>
        </w:rPr>
      </w:pPr>
    </w:p>
    <w:p w14:paraId="4C5B0212">
      <w:pPr>
        <w:spacing w:line="360" w:lineRule="auto"/>
        <w:jc w:val="both"/>
        <w:rPr>
          <w:rFonts w:hint="eastAsia" w:ascii="黑体" w:hAnsi="黑体" w:eastAsia="黑体" w:cs="黑体"/>
          <w:color w:val="auto"/>
          <w:sz w:val="32"/>
          <w:szCs w:val="32"/>
          <w:lang w:eastAsia="zh-CN"/>
        </w:rPr>
      </w:pPr>
    </w:p>
    <w:p w14:paraId="051D9B1B">
      <w:pPr>
        <w:pStyle w:val="2"/>
        <w:rPr>
          <w:rFonts w:hint="eastAsia"/>
          <w:color w:val="auto"/>
          <w:lang w:eastAsia="zh-CN"/>
        </w:rPr>
      </w:pPr>
    </w:p>
    <w:p w14:paraId="1270FAEA">
      <w:pPr>
        <w:jc w:val="center"/>
        <w:rPr>
          <w:rFonts w:hint="eastAsia" w:ascii="方正楷体_GB2312" w:hAnsi="方正楷体_GB2312" w:eastAsia="方正楷体_GB2312" w:cs="方正楷体_GB2312"/>
          <w:b w:val="0"/>
          <w:bCs/>
          <w:color w:val="auto"/>
          <w:sz w:val="32"/>
          <w:szCs w:val="32"/>
          <w:lang w:eastAsia="zh-CN"/>
        </w:rPr>
      </w:pPr>
      <w:r>
        <w:rPr>
          <w:rFonts w:hint="eastAsia" w:ascii="方正楷体_GB2312" w:hAnsi="方正楷体_GB2312" w:eastAsia="方正楷体_GB2312" w:cs="方正楷体_GB2312"/>
          <w:b w:val="0"/>
          <w:bCs/>
          <w:color w:val="auto"/>
          <w:sz w:val="32"/>
          <w:szCs w:val="32"/>
          <w:lang w:eastAsia="zh-CN"/>
        </w:rPr>
        <w:t>二〇二</w:t>
      </w:r>
      <w:r>
        <w:rPr>
          <w:rFonts w:hint="eastAsia" w:ascii="方正楷体_GB2312" w:hAnsi="方正楷体_GB2312" w:eastAsia="方正楷体_GB2312" w:cs="方正楷体_GB2312"/>
          <w:b w:val="0"/>
          <w:bCs/>
          <w:color w:val="auto"/>
          <w:sz w:val="32"/>
          <w:szCs w:val="32"/>
          <w:lang w:val="en-US" w:eastAsia="zh-CN"/>
        </w:rPr>
        <w:t>六</w:t>
      </w:r>
      <w:r>
        <w:rPr>
          <w:rFonts w:hint="eastAsia" w:ascii="方正楷体_GB2312" w:hAnsi="方正楷体_GB2312" w:eastAsia="方正楷体_GB2312" w:cs="方正楷体_GB2312"/>
          <w:b w:val="0"/>
          <w:bCs/>
          <w:color w:val="auto"/>
          <w:sz w:val="32"/>
          <w:szCs w:val="32"/>
          <w:lang w:eastAsia="zh-CN"/>
        </w:rPr>
        <w:t>年</w:t>
      </w:r>
      <w:r>
        <w:rPr>
          <w:rFonts w:hint="eastAsia" w:ascii="方正楷体_GB2312" w:hAnsi="方正楷体_GB2312" w:eastAsia="方正楷体_GB2312" w:cs="方正楷体_GB2312"/>
          <w:b w:val="0"/>
          <w:bCs/>
          <w:color w:val="auto"/>
          <w:sz w:val="32"/>
          <w:szCs w:val="32"/>
          <w:lang w:val="en-US" w:eastAsia="zh-CN"/>
        </w:rPr>
        <w:t>三</w:t>
      </w:r>
      <w:r>
        <w:rPr>
          <w:rFonts w:hint="eastAsia" w:ascii="方正楷体_GB2312" w:hAnsi="方正楷体_GB2312" w:eastAsia="方正楷体_GB2312" w:cs="方正楷体_GB2312"/>
          <w:b w:val="0"/>
          <w:bCs/>
          <w:color w:val="auto"/>
          <w:sz w:val="32"/>
          <w:szCs w:val="32"/>
          <w:lang w:eastAsia="zh-CN"/>
        </w:rPr>
        <w:t>月</w:t>
      </w:r>
    </w:p>
    <w:p w14:paraId="6CCB31A6">
      <w:pPr>
        <w:pStyle w:val="18"/>
        <w:ind w:left="0" w:leftChars="0" w:firstLine="0" w:firstLineChars="0"/>
        <w:jc w:val="left"/>
        <w:rPr>
          <w:rFonts w:hint="eastAsia"/>
          <w:color w:val="auto"/>
          <w:lang w:val="en-US" w:eastAsia="zh-CN"/>
        </w:rPr>
      </w:pPr>
    </w:p>
    <w:p w14:paraId="41DBBE44">
      <w:pPr>
        <w:pStyle w:val="18"/>
        <w:ind w:left="0" w:leftChars="0" w:firstLine="0" w:firstLineChars="0"/>
        <w:jc w:val="center"/>
        <w:rPr>
          <w:rFonts w:hint="eastAsia" w:ascii="宋体" w:hAnsi="宋体"/>
          <w:b/>
          <w:color w:val="auto"/>
          <w:sz w:val="44"/>
          <w:szCs w:val="44"/>
        </w:rPr>
      </w:pPr>
      <w:r>
        <w:rPr>
          <w:rFonts w:hint="eastAsia" w:ascii="方正楷体_GB2312" w:hAnsi="方正楷体_GB2312" w:eastAsia="方正楷体_GB2312" w:cs="方正楷体_GB2312"/>
          <w:b w:val="0"/>
          <w:bCs w:val="0"/>
          <w:color w:val="auto"/>
          <w:sz w:val="28"/>
          <w:szCs w:val="28"/>
          <w:lang w:val="en-US" w:eastAsia="zh-CN"/>
        </w:rPr>
        <w:t>（本采购文件仅适用于医院内部采购，最终解释权归院方所有）</w:t>
      </w:r>
      <w:bookmarkStart w:id="0" w:name="_Toc396919473"/>
      <w:bookmarkEnd w:id="0"/>
      <w:bookmarkStart w:id="1" w:name="_Toc377371335"/>
      <w:bookmarkEnd w:id="1"/>
      <w:bookmarkStart w:id="2" w:name="_Toc377222298"/>
      <w:bookmarkStart w:id="3" w:name="_Toc376872269"/>
    </w:p>
    <w:p w14:paraId="4E863F30">
      <w:pPr>
        <w:ind w:firstLine="420" w:firstLineChars="0"/>
        <w:jc w:val="center"/>
        <w:rPr>
          <w:rFonts w:hint="eastAsia" w:ascii="宋体" w:hAnsi="宋体"/>
          <w:b/>
          <w:color w:val="auto"/>
          <w:sz w:val="44"/>
          <w:szCs w:val="44"/>
        </w:rPr>
      </w:pPr>
    </w:p>
    <w:p w14:paraId="5BBDACD6">
      <w:pPr>
        <w:ind w:firstLine="420" w:firstLineChars="0"/>
        <w:jc w:val="center"/>
        <w:rPr>
          <w:rFonts w:hint="eastAsia" w:ascii="宋体" w:hAnsi="宋体"/>
          <w:b/>
          <w:color w:val="auto"/>
          <w:sz w:val="44"/>
          <w:szCs w:val="44"/>
        </w:rPr>
      </w:pPr>
    </w:p>
    <w:p w14:paraId="370AEFB0">
      <w:pPr>
        <w:ind w:firstLine="420" w:firstLineChars="0"/>
        <w:jc w:val="center"/>
        <w:rPr>
          <w:rFonts w:hint="eastAsia" w:ascii="宋体" w:hAnsi="宋体"/>
          <w:b/>
          <w:color w:val="auto"/>
          <w:sz w:val="44"/>
          <w:szCs w:val="44"/>
        </w:rPr>
      </w:pPr>
    </w:p>
    <w:p w14:paraId="71FD272E">
      <w:pPr>
        <w:ind w:firstLine="420" w:firstLineChars="0"/>
        <w:jc w:val="center"/>
        <w:rPr>
          <w:rFonts w:hint="eastAsia" w:ascii="宋体" w:hAnsi="宋体"/>
          <w:b/>
          <w:color w:val="auto"/>
          <w:sz w:val="44"/>
          <w:szCs w:val="44"/>
        </w:rPr>
      </w:pPr>
    </w:p>
    <w:p w14:paraId="157050B2">
      <w:pPr>
        <w:ind w:firstLine="420" w:firstLineChars="0"/>
        <w:jc w:val="center"/>
        <w:rPr>
          <w:rFonts w:hint="eastAsia" w:ascii="宋体" w:hAnsi="宋体"/>
          <w:b/>
          <w:color w:val="auto"/>
          <w:sz w:val="44"/>
          <w:szCs w:val="44"/>
        </w:rPr>
      </w:pPr>
    </w:p>
    <w:p w14:paraId="0521BC99">
      <w:pPr>
        <w:ind w:firstLine="420" w:firstLineChars="0"/>
        <w:jc w:val="center"/>
        <w:rPr>
          <w:rFonts w:hint="eastAsia" w:ascii="宋体" w:hAnsi="宋体"/>
          <w:b/>
          <w:color w:val="auto"/>
          <w:sz w:val="44"/>
          <w:szCs w:val="44"/>
        </w:rPr>
      </w:pPr>
    </w:p>
    <w:p w14:paraId="2047A702">
      <w:pPr>
        <w:ind w:firstLine="420" w:firstLineChars="0"/>
        <w:jc w:val="center"/>
        <w:rPr>
          <w:rFonts w:hint="eastAsia" w:ascii="宋体" w:hAnsi="宋体"/>
          <w:b/>
          <w:color w:val="auto"/>
          <w:sz w:val="44"/>
          <w:szCs w:val="44"/>
        </w:rPr>
      </w:pPr>
    </w:p>
    <w:p w14:paraId="0F35F075">
      <w:pPr>
        <w:ind w:firstLine="420" w:firstLineChars="0"/>
        <w:jc w:val="center"/>
        <w:rPr>
          <w:rFonts w:hint="eastAsia" w:ascii="宋体" w:hAnsi="宋体"/>
          <w:b/>
          <w:color w:val="auto"/>
          <w:sz w:val="44"/>
          <w:szCs w:val="44"/>
        </w:rPr>
      </w:pPr>
    </w:p>
    <w:p w14:paraId="6087756A">
      <w:pPr>
        <w:ind w:firstLine="420" w:firstLineChars="0"/>
        <w:jc w:val="center"/>
        <w:rPr>
          <w:rFonts w:hint="eastAsia" w:ascii="宋体" w:hAnsi="宋体"/>
          <w:b/>
          <w:color w:val="auto"/>
          <w:sz w:val="44"/>
          <w:szCs w:val="44"/>
        </w:rPr>
      </w:pPr>
    </w:p>
    <w:p w14:paraId="7C8BB9E8">
      <w:pPr>
        <w:ind w:firstLine="420" w:firstLineChars="0"/>
        <w:jc w:val="center"/>
        <w:rPr>
          <w:rFonts w:hint="eastAsia" w:ascii="宋体" w:hAnsi="宋体"/>
          <w:b/>
          <w:color w:val="auto"/>
          <w:sz w:val="44"/>
          <w:szCs w:val="44"/>
        </w:rPr>
      </w:pPr>
    </w:p>
    <w:p w14:paraId="219CEC32">
      <w:pPr>
        <w:ind w:firstLine="420" w:firstLineChars="0"/>
        <w:jc w:val="center"/>
        <w:rPr>
          <w:rFonts w:hint="eastAsia" w:ascii="宋体" w:hAnsi="宋体"/>
          <w:b/>
          <w:color w:val="auto"/>
          <w:sz w:val="44"/>
          <w:szCs w:val="44"/>
        </w:rPr>
      </w:pPr>
    </w:p>
    <w:p w14:paraId="5CE80136">
      <w:pPr>
        <w:ind w:firstLine="420" w:firstLineChars="0"/>
        <w:jc w:val="center"/>
        <w:rPr>
          <w:rFonts w:hint="eastAsia" w:ascii="宋体" w:hAnsi="宋体"/>
          <w:b/>
          <w:color w:val="auto"/>
          <w:sz w:val="44"/>
          <w:szCs w:val="44"/>
        </w:rPr>
      </w:pPr>
    </w:p>
    <w:p w14:paraId="568870E9">
      <w:pPr>
        <w:ind w:firstLine="420" w:firstLineChars="0"/>
        <w:jc w:val="center"/>
        <w:rPr>
          <w:rFonts w:hint="eastAsia" w:ascii="宋体" w:hAnsi="宋体"/>
          <w:b/>
          <w:color w:val="auto"/>
          <w:sz w:val="44"/>
          <w:szCs w:val="44"/>
        </w:rPr>
      </w:pPr>
    </w:p>
    <w:p w14:paraId="1EAC4FB5">
      <w:pPr>
        <w:ind w:firstLine="420" w:firstLineChars="0"/>
        <w:jc w:val="center"/>
        <w:rPr>
          <w:rFonts w:hint="eastAsia" w:ascii="宋体" w:hAnsi="宋体"/>
          <w:b/>
          <w:color w:val="auto"/>
          <w:sz w:val="44"/>
          <w:szCs w:val="44"/>
        </w:rPr>
      </w:pPr>
    </w:p>
    <w:p w14:paraId="2B5465FA">
      <w:pPr>
        <w:ind w:firstLine="420" w:firstLineChars="0"/>
        <w:jc w:val="center"/>
        <w:rPr>
          <w:rFonts w:hint="eastAsia" w:ascii="宋体" w:hAnsi="宋体"/>
          <w:b/>
          <w:color w:val="auto"/>
          <w:sz w:val="44"/>
          <w:szCs w:val="44"/>
        </w:rPr>
      </w:pPr>
    </w:p>
    <w:p w14:paraId="51EB2AAA">
      <w:pPr>
        <w:ind w:firstLine="420" w:firstLineChars="0"/>
        <w:jc w:val="center"/>
        <w:rPr>
          <w:rFonts w:hint="eastAsia" w:ascii="宋体" w:hAnsi="宋体"/>
          <w:b/>
          <w:color w:val="auto"/>
          <w:sz w:val="44"/>
          <w:szCs w:val="44"/>
        </w:rPr>
      </w:pPr>
    </w:p>
    <w:p w14:paraId="06DD22B9">
      <w:pPr>
        <w:ind w:firstLine="420" w:firstLineChars="0"/>
        <w:jc w:val="center"/>
        <w:rPr>
          <w:rFonts w:hint="eastAsia" w:ascii="宋体" w:hAnsi="宋体"/>
          <w:b/>
          <w:color w:val="auto"/>
          <w:sz w:val="44"/>
          <w:szCs w:val="44"/>
        </w:rPr>
      </w:pPr>
    </w:p>
    <w:p w14:paraId="28F2BC80">
      <w:pPr>
        <w:ind w:firstLine="420" w:firstLineChars="0"/>
        <w:jc w:val="center"/>
        <w:rPr>
          <w:rFonts w:hint="eastAsia" w:ascii="宋体" w:hAnsi="宋体"/>
          <w:b/>
          <w:color w:val="auto"/>
          <w:sz w:val="44"/>
          <w:szCs w:val="44"/>
        </w:rPr>
      </w:pPr>
    </w:p>
    <w:p w14:paraId="40AD1124">
      <w:pPr>
        <w:ind w:firstLine="420" w:firstLineChars="0"/>
        <w:jc w:val="center"/>
        <w:rPr>
          <w:rFonts w:hint="eastAsia" w:ascii="宋体" w:hAnsi="宋体"/>
          <w:b/>
          <w:color w:val="auto"/>
          <w:sz w:val="44"/>
          <w:szCs w:val="44"/>
        </w:rPr>
      </w:pPr>
    </w:p>
    <w:p w14:paraId="4D025E36">
      <w:pPr>
        <w:ind w:firstLine="420" w:firstLineChars="0"/>
        <w:jc w:val="center"/>
        <w:rPr>
          <w:rFonts w:hint="eastAsia" w:ascii="宋体" w:hAnsi="宋体"/>
          <w:b/>
          <w:color w:val="auto"/>
          <w:sz w:val="44"/>
          <w:szCs w:val="44"/>
        </w:rPr>
      </w:pPr>
    </w:p>
    <w:p w14:paraId="30421A31">
      <w:pPr>
        <w:ind w:firstLine="420" w:firstLineChars="0"/>
        <w:jc w:val="center"/>
        <w:rPr>
          <w:rFonts w:hint="eastAsia" w:ascii="宋体" w:hAnsi="宋体"/>
          <w:b/>
          <w:color w:val="auto"/>
          <w:sz w:val="44"/>
          <w:szCs w:val="44"/>
        </w:rPr>
      </w:pPr>
    </w:p>
    <w:p w14:paraId="201340D3">
      <w:pPr>
        <w:ind w:firstLine="420" w:firstLineChars="0"/>
        <w:jc w:val="center"/>
        <w:rPr>
          <w:rFonts w:hint="eastAsia" w:ascii="宋体" w:hAnsi="宋体"/>
          <w:b/>
          <w:color w:val="auto"/>
          <w:sz w:val="44"/>
          <w:szCs w:val="44"/>
        </w:rPr>
        <w:sectPr>
          <w:headerReference r:id="rId3" w:type="default"/>
          <w:pgSz w:w="11906" w:h="16838"/>
          <w:pgMar w:top="1474" w:right="1474" w:bottom="1474" w:left="1474" w:header="851" w:footer="992" w:gutter="0"/>
          <w:pgNumType w:fmt="decimal" w:start="1"/>
          <w:cols w:space="720" w:num="1"/>
          <w:docGrid w:type="lines" w:linePitch="312" w:charSpace="0"/>
        </w:sectPr>
      </w:pPr>
    </w:p>
    <w:p w14:paraId="5F91B334">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52"/>
          <w:szCs w:val="52"/>
        </w:rPr>
      </w:pPr>
      <w:r>
        <w:rPr>
          <w:rFonts w:hint="eastAsia" w:ascii="黑体" w:hAnsi="黑体" w:eastAsia="黑体" w:cs="黑体"/>
          <w:b w:val="0"/>
          <w:bCs w:val="0"/>
          <w:color w:val="auto"/>
          <w:sz w:val="52"/>
          <w:szCs w:val="52"/>
        </w:rPr>
        <w:t>目   录</w:t>
      </w:r>
      <w:bookmarkEnd w:id="2"/>
    </w:p>
    <w:p w14:paraId="6A26F70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方正公文小标宋" w:hAnsi="方正公文小标宋" w:eastAsia="方正公文小标宋" w:cs="方正公文小标宋"/>
          <w:b w:val="0"/>
          <w:bCs w:val="0"/>
          <w:color w:val="auto"/>
          <w:sz w:val="32"/>
          <w:szCs w:val="32"/>
          <w:lang w:eastAsia="zh-CN"/>
        </w:rPr>
      </w:pPr>
      <w:r>
        <w:rPr>
          <w:rFonts w:hint="eastAsia" w:ascii="黑体" w:hAnsi="黑体" w:eastAsia="黑体" w:cs="黑体"/>
          <w:b w:val="0"/>
          <w:bCs w:val="0"/>
          <w:color w:val="auto"/>
          <w:sz w:val="36"/>
          <w:szCs w:val="36"/>
          <w:lang w:eastAsia="zh-CN"/>
        </w:rPr>
        <w:t>第一章</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lang w:eastAsia="zh-CN"/>
        </w:rPr>
        <w:t>项目比选邀请</w:t>
      </w:r>
    </w:p>
    <w:p w14:paraId="4CFF9AE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一、比选邀请函</w:t>
      </w:r>
    </w:p>
    <w:p w14:paraId="2A9885B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附件1：比选通知</w:t>
      </w:r>
    </w:p>
    <w:p w14:paraId="6E48C61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附件2：确认通知</w:t>
      </w:r>
    </w:p>
    <w:p w14:paraId="0FFD936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二、比选须知前附表</w:t>
      </w:r>
    </w:p>
    <w:p w14:paraId="1E38089B">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第二章  采购需求</w:t>
      </w:r>
    </w:p>
    <w:p w14:paraId="43FD653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第三章  评审方法及无效报价条款</w:t>
      </w:r>
    </w:p>
    <w:p w14:paraId="5475658D">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 xml:space="preserve">第四章  </w:t>
      </w:r>
      <w:r>
        <w:rPr>
          <w:rFonts w:hint="eastAsia" w:ascii="黑体" w:hAnsi="黑体" w:eastAsia="黑体" w:cs="黑体"/>
          <w:b w:val="0"/>
          <w:bCs w:val="0"/>
          <w:color w:val="auto"/>
          <w:sz w:val="36"/>
          <w:szCs w:val="36"/>
          <w:lang w:eastAsia="zh-CN"/>
        </w:rPr>
        <w:t>采购合同（</w:t>
      </w:r>
      <w:r>
        <w:rPr>
          <w:rFonts w:hint="eastAsia" w:ascii="黑体" w:hAnsi="黑体" w:eastAsia="黑体" w:cs="黑体"/>
          <w:b w:val="0"/>
          <w:bCs w:val="0"/>
          <w:color w:val="auto"/>
          <w:sz w:val="36"/>
          <w:szCs w:val="36"/>
          <w:lang w:val="en-US" w:eastAsia="zh-CN"/>
        </w:rPr>
        <w:t>格式</w:t>
      </w:r>
      <w:r>
        <w:rPr>
          <w:rFonts w:hint="eastAsia" w:ascii="黑体" w:hAnsi="黑体" w:eastAsia="黑体" w:cs="黑体"/>
          <w:b w:val="0"/>
          <w:bCs w:val="0"/>
          <w:color w:val="auto"/>
          <w:sz w:val="36"/>
          <w:szCs w:val="36"/>
          <w:lang w:eastAsia="zh-CN"/>
        </w:rPr>
        <w:t>）</w:t>
      </w:r>
    </w:p>
    <w:p w14:paraId="7E319A2C">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第五章  响应文件格式</w:t>
      </w:r>
    </w:p>
    <w:p w14:paraId="64F414C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（一）投标函</w:t>
      </w:r>
    </w:p>
    <w:p w14:paraId="54AED39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（二）投标人资格声明承诺函(格式)</w:t>
      </w:r>
    </w:p>
    <w:p w14:paraId="775528B2">
      <w:pPr>
        <w:keepNext w:val="0"/>
        <w:keepLines w:val="0"/>
        <w:pageBreakBefore w:val="0"/>
        <w:widowControl w:val="0"/>
        <w:kinsoku/>
        <w:wordWrap/>
        <w:overflowPunct/>
        <w:topLinePunct w:val="0"/>
        <w:autoSpaceDE/>
        <w:autoSpaceDN/>
        <w:bidi w:val="0"/>
        <w:adjustRightInd/>
        <w:snapToGrid/>
        <w:spacing w:line="574" w:lineRule="exact"/>
        <w:ind w:left="2516" w:leftChars="798" w:hanging="840" w:hangingChars="3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（三）参加政府采购活动前三年内在经营活动中没有重大违法记录的书面声明</w:t>
      </w:r>
    </w:p>
    <w:p w14:paraId="3D7B05B4">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（四）法人代表身份证明</w:t>
      </w:r>
    </w:p>
    <w:p w14:paraId="15108261">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（五）法人代表授权委托书</w:t>
      </w:r>
    </w:p>
    <w:p w14:paraId="271B722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（六）服务承诺及服务质量保证承诺函</w:t>
      </w:r>
    </w:p>
    <w:p w14:paraId="673E900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（七）报价承诺函</w:t>
      </w:r>
    </w:p>
    <w:p w14:paraId="1076A636">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（八）报价一览表</w:t>
      </w:r>
    </w:p>
    <w:p w14:paraId="70B2B108">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（九）分项报价明细表</w:t>
      </w:r>
    </w:p>
    <w:p w14:paraId="46BBE58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（十）采购需求偏离表</w:t>
      </w:r>
    </w:p>
    <w:p w14:paraId="157C08B3">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（十一）项目实施方案</w:t>
      </w:r>
    </w:p>
    <w:p w14:paraId="4FF4AF30">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（十二）投标人认为需要提供的证明材料</w:t>
      </w:r>
    </w:p>
    <w:p w14:paraId="2981D93E">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55D115F1">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0C4D7BD">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BE44485">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9E089A4">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F574D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C2877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6EA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B36B1A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428BA4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8B622E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6A7C4B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3B8648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FA4A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D3B50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46A2D18">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3002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2DB4D">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BF64CDA">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64741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E6AAD3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F9940F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959C8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7458D9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24E99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D045EEB">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B5C7FD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DF51E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sectPr>
          <w:footerReference r:id="rId4" w:type="default"/>
          <w:pgSz w:w="11906" w:h="16838"/>
          <w:pgMar w:top="1474" w:right="1474" w:bottom="1474" w:left="1474" w:header="851" w:footer="992" w:gutter="0"/>
          <w:pgNumType w:fmt="decimal" w:start="1"/>
          <w:cols w:space="720" w:num="1"/>
          <w:docGrid w:type="lines" w:linePitch="312" w:charSpace="0"/>
        </w:sectPr>
      </w:pPr>
    </w:p>
    <w:p w14:paraId="27963512">
      <w:pPr>
        <w:pStyle w:val="27"/>
        <w:numPr>
          <w:ilvl w:val="0"/>
          <w:numId w:val="0"/>
        </w:numPr>
        <w:spacing w:line="500" w:lineRule="exact"/>
        <w:ind w:leftChars="0"/>
        <w:jc w:val="center"/>
        <w:outlineLvl w:val="1"/>
        <w:rPr>
          <w:rFonts w:hint="eastAsia" w:ascii="宋体" w:hAnsi="宋体"/>
          <w:b/>
          <w:bCs/>
          <w:color w:val="auto"/>
          <w:sz w:val="36"/>
          <w:szCs w:val="36"/>
        </w:rPr>
      </w:pPr>
      <w:r>
        <w:rPr>
          <w:rFonts w:hint="eastAsia" w:ascii="黑体" w:hAnsi="黑体" w:eastAsia="黑体" w:cs="黑体"/>
          <w:b w:val="0"/>
          <w:bCs/>
          <w:color w:val="auto"/>
          <w:sz w:val="44"/>
          <w:szCs w:val="44"/>
          <w:lang w:eastAsia="zh-CN"/>
        </w:rPr>
        <w:t>第一章</w:t>
      </w:r>
      <w:r>
        <w:rPr>
          <w:rFonts w:hint="eastAsia" w:ascii="黑体" w:hAnsi="黑体" w:eastAsia="黑体" w:cs="黑体"/>
          <w:b w:val="0"/>
          <w:bCs/>
          <w:color w:val="auto"/>
          <w:sz w:val="44"/>
          <w:szCs w:val="44"/>
          <w:lang w:val="en-US" w:eastAsia="zh-CN"/>
        </w:rPr>
        <w:t xml:space="preserve">  </w:t>
      </w:r>
      <w:r>
        <w:rPr>
          <w:rFonts w:hint="eastAsia" w:ascii="黑体" w:hAnsi="黑体" w:eastAsia="黑体" w:cs="黑体"/>
          <w:b w:val="0"/>
          <w:bCs/>
          <w:color w:val="auto"/>
          <w:sz w:val="44"/>
          <w:szCs w:val="44"/>
        </w:rPr>
        <w:t>项目</w:t>
      </w:r>
      <w:bookmarkEnd w:id="3"/>
      <w:r>
        <w:rPr>
          <w:rFonts w:hint="eastAsia" w:ascii="黑体" w:hAnsi="黑体" w:eastAsia="黑体" w:cs="黑体"/>
          <w:b w:val="0"/>
          <w:bCs/>
          <w:color w:val="auto"/>
          <w:sz w:val="44"/>
          <w:szCs w:val="44"/>
        </w:rPr>
        <w:t>比选</w:t>
      </w:r>
      <w:r>
        <w:rPr>
          <w:rFonts w:hint="eastAsia" w:ascii="黑体" w:hAnsi="黑体" w:eastAsia="黑体" w:cs="黑体"/>
          <w:b w:val="0"/>
          <w:bCs/>
          <w:color w:val="auto"/>
          <w:sz w:val="44"/>
          <w:szCs w:val="44"/>
          <w:lang w:eastAsia="zh-CN"/>
        </w:rPr>
        <w:t>邀请</w:t>
      </w:r>
    </w:p>
    <w:p w14:paraId="0D3CDCAB">
      <w:pPr>
        <w:jc w:val="center"/>
        <w:rPr>
          <w:rFonts w:hint="eastAsia" w:ascii="宋体" w:hAnsi="宋体"/>
          <w:b/>
          <w:bCs/>
          <w:color w:val="auto"/>
          <w:sz w:val="24"/>
          <w:szCs w:val="24"/>
        </w:rPr>
      </w:pPr>
      <w:r>
        <w:rPr>
          <w:rFonts w:hint="eastAsia" w:ascii="宋体" w:hAnsi="宋体"/>
          <w:b/>
          <w:bCs/>
          <w:color w:val="auto"/>
          <w:sz w:val="24"/>
          <w:szCs w:val="24"/>
        </w:rPr>
        <w:t xml:space="preserve"> </w:t>
      </w:r>
    </w:p>
    <w:p w14:paraId="4AF2B0B7">
      <w:pPr>
        <w:adjustRightInd w:val="0"/>
        <w:snapToGrid w:val="0"/>
        <w:spacing w:line="360" w:lineRule="auto"/>
        <w:jc w:val="center"/>
        <w:rPr>
          <w:rFonts w:hint="eastAsia"/>
          <w:color w:val="auto"/>
          <w:sz w:val="36"/>
          <w:szCs w:val="36"/>
        </w:rPr>
      </w:pPr>
      <w:r>
        <w:rPr>
          <w:rFonts w:hint="eastAsia" w:ascii="黑体" w:hAnsi="黑体" w:eastAsia="黑体" w:cs="黑体"/>
          <w:b w:val="0"/>
          <w:bCs w:val="0"/>
          <w:color w:val="auto"/>
          <w:sz w:val="36"/>
          <w:szCs w:val="36"/>
          <w:lang w:eastAsia="zh-CN"/>
        </w:rPr>
        <w:t>一、</w:t>
      </w:r>
      <w:r>
        <w:rPr>
          <w:rFonts w:hint="eastAsia" w:ascii="黑体" w:hAnsi="黑体" w:eastAsia="黑体" w:cs="黑体"/>
          <w:b w:val="0"/>
          <w:bCs w:val="0"/>
          <w:color w:val="auto"/>
          <w:sz w:val="36"/>
          <w:szCs w:val="36"/>
        </w:rPr>
        <w:t>比选邀请函</w:t>
      </w:r>
    </w:p>
    <w:p w14:paraId="487FC5C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eastAsia="宋体" w:cs="Times New Roman"/>
          <w:color w:val="auto"/>
          <w:sz w:val="28"/>
          <w:szCs w:val="28"/>
        </w:rPr>
      </w:pPr>
      <w:r>
        <w:rPr>
          <w:rFonts w:hint="eastAsia" w:ascii="方正仿宋_GB2312" w:hAnsi="方正仿宋_GB2312" w:eastAsia="方正仿宋_GB2312" w:cs="方正仿宋_GB2312"/>
          <w:color w:val="auto"/>
          <w:sz w:val="32"/>
          <w:szCs w:val="32"/>
          <w:lang w:eastAsia="zh-CN"/>
        </w:rPr>
        <w:t>桃江县人民医院</w:t>
      </w:r>
      <w:r>
        <w:rPr>
          <w:rFonts w:hint="eastAsia" w:ascii="方正仿宋_GB2312" w:hAnsi="方正仿宋_GB2312" w:eastAsia="方正仿宋_GB2312" w:cs="方正仿宋_GB2312"/>
          <w:color w:val="auto"/>
          <w:sz w:val="32"/>
          <w:szCs w:val="32"/>
          <w:u w:val="single"/>
          <w:lang w:eastAsia="zh-CN"/>
        </w:rPr>
        <w:t>电梯年度维保服务</w:t>
      </w:r>
      <w:r>
        <w:rPr>
          <w:rFonts w:hint="eastAsia" w:ascii="方正仿宋_GB2312" w:hAnsi="方正仿宋_GB2312" w:eastAsia="方正仿宋_GB2312" w:cs="方正仿宋_GB2312"/>
          <w:color w:val="auto"/>
          <w:sz w:val="32"/>
          <w:szCs w:val="32"/>
          <w:lang w:eastAsia="zh-CN"/>
        </w:rPr>
        <w:t>采购项目</w:t>
      </w:r>
      <w:r>
        <w:rPr>
          <w:rFonts w:hint="eastAsia" w:ascii="方正仿宋_GB2312" w:hAnsi="方正仿宋_GB2312" w:eastAsia="方正仿宋_GB2312" w:cs="方正仿宋_GB2312"/>
          <w:color w:val="auto"/>
          <w:sz w:val="32"/>
          <w:szCs w:val="32"/>
        </w:rPr>
        <w:t>，采购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编号：</w:t>
      </w:r>
      <w:r>
        <w:rPr>
          <w:rFonts w:hint="eastAsia" w:ascii="方正仿宋_GB2312" w:hAnsi="方正仿宋_GB2312" w:eastAsia="方正仿宋_GB2312" w:cs="方正仿宋_GB2312"/>
          <w:color w:val="auto"/>
          <w:sz w:val="32"/>
          <w:szCs w:val="32"/>
          <w:u w:val="single"/>
          <w:lang w:val="en-US" w:eastAsia="zh-CN"/>
        </w:rPr>
        <w:t>HNTJRY-TJ2026-001</w:t>
      </w:r>
      <w:r>
        <w:rPr>
          <w:rFonts w:hint="eastAsia" w:ascii="方正仿宋_GB2312" w:hAnsi="方正仿宋_GB2312" w:eastAsia="方正仿宋_GB2312" w:cs="方正仿宋_GB2312"/>
          <w:color w:val="auto"/>
          <w:sz w:val="32"/>
          <w:szCs w:val="32"/>
        </w:rPr>
        <w:t>进行院内比选采购，</w:t>
      </w:r>
      <w:r>
        <w:rPr>
          <w:rFonts w:hint="eastAsia" w:ascii="方正仿宋_GB2312" w:hAnsi="方正仿宋_GB2312" w:eastAsia="方正仿宋_GB2312" w:cs="方正仿宋_GB2312"/>
          <w:color w:val="auto"/>
          <w:kern w:val="0"/>
          <w:sz w:val="32"/>
          <w:szCs w:val="32"/>
          <w:lang w:val="en-US" w:eastAsia="zh-CN" w:bidi="ar-SA"/>
        </w:rPr>
        <w:t>现邀请符合资格条件要求并有意参与本次采购活动的供应商报名参加，待报名资料审查合格后，将正式邀请参与采购活动。现将采购事项公告如下：</w:t>
      </w:r>
    </w:p>
    <w:p w14:paraId="62FC45F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val="0"/>
          <w:bCs/>
          <w:color w:val="auto"/>
          <w:sz w:val="28"/>
          <w:szCs w:val="28"/>
        </w:rPr>
      </w:pPr>
      <w:r>
        <w:rPr>
          <w:rFonts w:hint="eastAsia" w:ascii="黑体" w:hAnsi="黑体" w:eastAsia="黑体" w:cs="黑体"/>
          <w:b w:val="0"/>
          <w:bCs/>
          <w:color w:val="auto"/>
          <w:sz w:val="32"/>
          <w:szCs w:val="32"/>
        </w:rPr>
        <w:t>一、项目概况</w:t>
      </w:r>
    </w:p>
    <w:p w14:paraId="6686545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1、采购人：</w:t>
      </w:r>
      <w:r>
        <w:rPr>
          <w:rFonts w:hint="eastAsia" w:ascii="方正仿宋_GB2312" w:hAnsi="方正仿宋_GB2312" w:eastAsia="方正仿宋_GB2312" w:cs="方正仿宋_GB2312"/>
          <w:color w:val="auto"/>
          <w:sz w:val="32"/>
          <w:szCs w:val="32"/>
          <w:u w:val="none"/>
          <w:lang w:val="en-US" w:eastAsia="zh-CN"/>
        </w:rPr>
        <w:t>桃江县人民医院</w:t>
      </w:r>
    </w:p>
    <w:p w14:paraId="69641F0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eastAsia="zh-CN"/>
        </w:rPr>
      </w:pPr>
      <w:r>
        <w:rPr>
          <w:rFonts w:hint="eastAsia" w:ascii="方正仿宋_GB2312" w:hAnsi="方正仿宋_GB2312" w:eastAsia="方正仿宋_GB2312" w:cs="方正仿宋_GB2312"/>
          <w:color w:val="auto"/>
          <w:sz w:val="32"/>
          <w:szCs w:val="32"/>
          <w:u w:val="none"/>
        </w:rPr>
        <w:t>2、采购项目名称</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电梯年度维保服务采购项目</w:t>
      </w:r>
    </w:p>
    <w:p w14:paraId="2E09FF9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3、采购预算金额：46.8万元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采购预算金额包含但不限于技术服务、维护保养、故障维修、应急救援、保险购买、年检费、税费等本项目相关的所有费用，采购人不另行支付其他任何费用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4D4B0A5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rPr>
      </w:pPr>
      <w:r>
        <w:rPr>
          <w:rFonts w:hint="eastAsia" w:ascii="方正仿宋_GB2312" w:hAnsi="方正仿宋_GB2312" w:eastAsia="方正仿宋_GB2312" w:cs="方正仿宋_GB2312"/>
          <w:color w:val="auto"/>
          <w:sz w:val="32"/>
          <w:szCs w:val="32"/>
          <w:u w:val="none"/>
          <w:lang w:val="en-US" w:eastAsia="zh-CN"/>
        </w:rPr>
        <w:t>4</w:t>
      </w:r>
      <w:r>
        <w:rPr>
          <w:rFonts w:hint="eastAsia" w:ascii="方正仿宋_GB2312" w:hAnsi="方正仿宋_GB2312" w:eastAsia="方正仿宋_GB2312" w:cs="方正仿宋_GB2312"/>
          <w:color w:val="auto"/>
          <w:sz w:val="32"/>
          <w:szCs w:val="32"/>
          <w:u w:val="none"/>
        </w:rPr>
        <w:t>、采购编号：</w:t>
      </w:r>
      <w:r>
        <w:rPr>
          <w:rFonts w:hint="eastAsia" w:ascii="方正仿宋_GB2312" w:hAnsi="方正仿宋_GB2312" w:eastAsia="方正仿宋_GB2312" w:cs="方正仿宋_GB2312"/>
          <w:color w:val="auto"/>
          <w:sz w:val="32"/>
          <w:szCs w:val="32"/>
          <w:u w:val="none"/>
          <w:lang w:val="en-US" w:eastAsia="zh-CN"/>
        </w:rPr>
        <w:t>HNTJRY-TJ2026-001</w:t>
      </w:r>
    </w:p>
    <w:p w14:paraId="03C159E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lang w:val="en-US" w:eastAsia="zh-CN"/>
        </w:rPr>
        <w:t>5</w:t>
      </w:r>
      <w:r>
        <w:rPr>
          <w:rFonts w:hint="eastAsia" w:ascii="方正仿宋_GB2312" w:hAnsi="方正仿宋_GB2312" w:eastAsia="方正仿宋_GB2312" w:cs="方正仿宋_GB2312"/>
          <w:color w:val="auto"/>
          <w:sz w:val="32"/>
          <w:szCs w:val="32"/>
          <w:u w:val="none"/>
        </w:rPr>
        <w:t>、采购项目标的：</w:t>
      </w:r>
    </w:p>
    <w:tbl>
      <w:tblPr>
        <w:tblStyle w:val="19"/>
        <w:tblW w:w="892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95"/>
        <w:gridCol w:w="1005"/>
        <w:gridCol w:w="1020"/>
        <w:gridCol w:w="765"/>
        <w:gridCol w:w="1215"/>
        <w:gridCol w:w="1215"/>
        <w:gridCol w:w="810"/>
      </w:tblGrid>
      <w:tr w14:paraId="031F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DF5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1005" w:type="dxa"/>
            <w:tcBorders>
              <w:top w:val="single" w:color="000000" w:sz="4" w:space="0"/>
              <w:left w:val="single" w:color="000000" w:sz="4" w:space="0"/>
              <w:bottom w:val="single" w:color="000000" w:sz="4" w:space="0"/>
              <w:right w:val="single" w:color="auto" w:sz="4" w:space="0"/>
            </w:tcBorders>
            <w:shd w:val="clear" w:color="auto" w:fill="auto"/>
            <w:vAlign w:val="center"/>
          </w:tcPr>
          <w:p w14:paraId="2CF8E27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单价</w:t>
            </w:r>
          </w:p>
          <w:p w14:paraId="4A26BC7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020" w:type="dxa"/>
            <w:tcBorders>
              <w:top w:val="single" w:color="000000" w:sz="4" w:space="0"/>
              <w:left w:val="single" w:color="auto" w:sz="4" w:space="0"/>
              <w:bottom w:val="single" w:color="000000" w:sz="4" w:space="0"/>
              <w:right w:val="single" w:color="000000" w:sz="4" w:space="0"/>
            </w:tcBorders>
            <w:shd w:val="clear" w:color="auto" w:fill="auto"/>
            <w:vAlign w:val="center"/>
          </w:tcPr>
          <w:p w14:paraId="5636D4C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864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3FB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14:paraId="4B53EFB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535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14:paraId="3A43522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B48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7BD4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2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CD9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电梯年度维保服务采购</w:t>
            </w:r>
          </w:p>
        </w:tc>
        <w:tc>
          <w:tcPr>
            <w:tcW w:w="100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319D8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15.6</w:t>
            </w:r>
          </w:p>
        </w:tc>
        <w:tc>
          <w:tcPr>
            <w:tcW w:w="1020"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18A22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万元/年</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8B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E09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46.8</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8F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46.8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BC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w:t>
            </w:r>
          </w:p>
        </w:tc>
      </w:tr>
    </w:tbl>
    <w:p w14:paraId="490534B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二、供应商</w:t>
      </w:r>
      <w:r>
        <w:rPr>
          <w:rFonts w:hint="eastAsia" w:ascii="黑体" w:hAnsi="黑体" w:eastAsia="黑体" w:cs="黑体"/>
          <w:b w:val="0"/>
          <w:bCs/>
          <w:color w:val="auto"/>
          <w:sz w:val="32"/>
          <w:szCs w:val="32"/>
          <w:lang w:val="en-US" w:eastAsia="zh-CN"/>
        </w:rPr>
        <w:t>资格</w:t>
      </w:r>
      <w:r>
        <w:rPr>
          <w:rFonts w:hint="eastAsia" w:ascii="黑体" w:hAnsi="黑体" w:eastAsia="黑体" w:cs="黑体"/>
          <w:b w:val="0"/>
          <w:bCs/>
          <w:color w:val="auto"/>
          <w:sz w:val="32"/>
          <w:szCs w:val="32"/>
        </w:rPr>
        <w:t>要求</w:t>
      </w:r>
    </w:p>
    <w:p w14:paraId="24933D5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default"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1、供应商的基本资格条件：供应商必须是在中华人民共和国境内注册登记的法人、其他组织或者自然人，且应当符合《政府采购法》第二十二条第一款的规定</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即：</w:t>
      </w:r>
    </w:p>
    <w:p w14:paraId="2643A86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（1）具有独立承担民事责任的能力；</w:t>
      </w:r>
    </w:p>
    <w:p w14:paraId="08905F8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（2）具有良好的商业信誉和健全的财务会计制度；</w:t>
      </w:r>
    </w:p>
    <w:p w14:paraId="0563973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（3）具有履行合同所必需的设备和专业技术能力；</w:t>
      </w:r>
    </w:p>
    <w:p w14:paraId="006E3B7D">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（4）有依法缴纳税收和社会保障资金的良好记录；</w:t>
      </w:r>
    </w:p>
    <w:p w14:paraId="7E87905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（5）参加政府采购活动前三年内，在经营活动中没有重大违法记录；</w:t>
      </w:r>
    </w:p>
    <w:p w14:paraId="4EC50104">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（6）法律、行政法规规定的其他条件。</w:t>
      </w:r>
    </w:p>
    <w:p w14:paraId="11D0761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2、供应商特定资格条件</w:t>
      </w:r>
    </w:p>
    <w:p w14:paraId="4D45CFCD">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textAlignment w:val="auto"/>
        <w:outlineLvl w:val="0"/>
        <w:rPr>
          <w:rFonts w:hint="eastAsia" w:ascii="黑体" w:hAnsi="黑体" w:eastAsia="黑体" w:cs="黑体"/>
          <w:b w:val="0"/>
          <w:bCs/>
          <w:color w:val="auto"/>
          <w:sz w:val="32"/>
          <w:szCs w:val="32"/>
          <w:u w:val="single"/>
          <w:lang w:val="en-US" w:eastAsia="zh-CN"/>
        </w:rPr>
      </w:pPr>
      <w:r>
        <w:rPr>
          <w:rFonts w:hint="eastAsia" w:ascii="方正仿宋_GB2312" w:hAnsi="方正仿宋_GB2312" w:eastAsia="方正仿宋_GB2312" w:cs="方正仿宋_GB2312"/>
          <w:color w:val="auto"/>
          <w:sz w:val="28"/>
          <w:szCs w:val="28"/>
          <w:u w:val="single"/>
          <w:lang w:val="en-US" w:eastAsia="zh-CN"/>
        </w:rPr>
        <w:t>投标人具有</w:t>
      </w:r>
      <w:r>
        <w:rPr>
          <w:rFonts w:hint="eastAsia" w:ascii="方正仿宋_GB2312" w:hAnsi="方正仿宋_GB2312" w:eastAsia="方正仿宋_GB2312" w:cs="方正仿宋_GB2312"/>
          <w:strike w:val="0"/>
          <w:dstrike w:val="0"/>
          <w:color w:val="auto"/>
          <w:sz w:val="28"/>
          <w:szCs w:val="28"/>
          <w:u w:val="single"/>
          <w:lang w:val="en-US" w:eastAsia="zh-CN"/>
        </w:rPr>
        <w:t>市场监督管理局</w:t>
      </w:r>
      <w:r>
        <w:rPr>
          <w:rFonts w:hint="eastAsia" w:ascii="方正仿宋_GB2312" w:hAnsi="方正仿宋_GB2312" w:eastAsia="方正仿宋_GB2312" w:cs="方正仿宋_GB2312"/>
          <w:color w:val="auto"/>
          <w:sz w:val="28"/>
          <w:szCs w:val="28"/>
          <w:u w:val="single"/>
          <w:lang w:val="en-US" w:eastAsia="zh-CN"/>
        </w:rPr>
        <w:t>颁发的《中华人民共和国特种设备生产许可证》电梯制造（含安装、修理、改造）或《中华人民共和国特种设备生产许可证》电梯安装（含修理），且资质证书在有效期内。</w:t>
      </w:r>
    </w:p>
    <w:p w14:paraId="16CB175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val="en-US" w:eastAsia="zh-CN"/>
        </w:rPr>
        <w:t>三、采购文件的获取</w:t>
      </w:r>
    </w:p>
    <w:p w14:paraId="056807E6">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rPr>
      </w:pPr>
      <w:r>
        <w:rPr>
          <w:rFonts w:hint="eastAsia" w:ascii="方正仿宋_GB2312" w:hAnsi="方正仿宋_GB2312" w:eastAsia="方正仿宋_GB2312" w:cs="方正仿宋_GB2312"/>
          <w:color w:val="auto"/>
          <w:kern w:val="0"/>
          <w:sz w:val="28"/>
          <w:szCs w:val="28"/>
          <w:lang w:val="en-US" w:eastAsia="zh-CN"/>
        </w:rPr>
        <w:t>1、</w:t>
      </w:r>
      <w:r>
        <w:rPr>
          <w:rFonts w:hint="eastAsia" w:ascii="仿宋_GB2312" w:hAnsi="仿宋_GB2312" w:eastAsia="仿宋_GB2312" w:cs="仿宋_GB2312"/>
          <w:color w:val="auto"/>
          <w:sz w:val="28"/>
          <w:szCs w:val="28"/>
          <w:lang w:val="en-US" w:eastAsia="zh-CN"/>
        </w:rPr>
        <w:t>递交报名资料审查合格后</w:t>
      </w:r>
      <w:r>
        <w:rPr>
          <w:rFonts w:hint="eastAsia" w:ascii="方正仿宋_GB2312" w:hAnsi="方正仿宋_GB2312" w:eastAsia="方正仿宋_GB2312" w:cs="方正仿宋_GB2312"/>
          <w:color w:val="auto"/>
          <w:kern w:val="0"/>
          <w:sz w:val="28"/>
          <w:szCs w:val="28"/>
          <w:lang w:val="en-US" w:eastAsia="zh-CN"/>
        </w:rPr>
        <w:t>，采购人向合格投标人发送《比选通知》（附件1）。</w:t>
      </w:r>
    </w:p>
    <w:p w14:paraId="534D49B9">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eastAsia="zh-CN"/>
        </w:rPr>
      </w:pPr>
      <w:r>
        <w:rPr>
          <w:rFonts w:hint="eastAsia" w:ascii="方正仿宋_GB2312" w:hAnsi="方正仿宋_GB2312" w:eastAsia="方正仿宋_GB2312" w:cs="方正仿宋_GB2312"/>
          <w:color w:val="auto"/>
          <w:kern w:val="0"/>
          <w:sz w:val="28"/>
          <w:szCs w:val="28"/>
          <w:lang w:val="en-US" w:eastAsia="zh-CN"/>
        </w:rPr>
        <w:t>2、合格投标人填写《确认通知》（附件2），及时报送采购人。</w:t>
      </w:r>
    </w:p>
    <w:p w14:paraId="5945EC1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kern w:val="0"/>
          <w:sz w:val="28"/>
          <w:szCs w:val="28"/>
          <w:lang w:val="en-US" w:eastAsia="zh-CN"/>
        </w:rPr>
        <w:t>3、</w:t>
      </w:r>
      <w:r>
        <w:rPr>
          <w:rFonts w:hint="eastAsia" w:ascii="方正仿宋_GB2312" w:hAnsi="方正仿宋_GB2312" w:eastAsia="方正仿宋_GB2312" w:cs="方正仿宋_GB2312"/>
          <w:color w:val="auto"/>
          <w:kern w:val="0"/>
          <w:sz w:val="28"/>
          <w:szCs w:val="28"/>
          <w:lang w:val="en-US" w:eastAsia="zh-CN" w:bidi="ar-SA"/>
        </w:rPr>
        <w:t>采购文件从</w:t>
      </w:r>
      <w:r>
        <w:rPr>
          <w:rFonts w:hint="eastAsia" w:ascii="方正仿宋_GB2312" w:hAnsi="方正仿宋_GB2312" w:eastAsia="方正仿宋_GB2312" w:cs="方正仿宋_GB2312"/>
          <w:color w:val="auto"/>
          <w:kern w:val="0"/>
          <w:sz w:val="28"/>
          <w:szCs w:val="28"/>
          <w:u w:val="single"/>
          <w:lang w:val="en-US" w:eastAsia="zh-CN" w:bidi="ar-SA"/>
        </w:rPr>
        <w:t>采购公告附件</w:t>
      </w:r>
      <w:r>
        <w:rPr>
          <w:rFonts w:hint="eastAsia" w:ascii="方正仿宋_GB2312" w:hAnsi="方正仿宋_GB2312" w:eastAsia="方正仿宋_GB2312" w:cs="方正仿宋_GB2312"/>
          <w:color w:val="auto"/>
          <w:kern w:val="0"/>
          <w:sz w:val="28"/>
          <w:szCs w:val="28"/>
          <w:lang w:val="en-US" w:eastAsia="zh-CN" w:bidi="ar-SA"/>
        </w:rPr>
        <w:t>获取。</w:t>
      </w:r>
    </w:p>
    <w:p w14:paraId="5CF231A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四、响应文件的递交以《比选通知》要求为准。</w:t>
      </w:r>
    </w:p>
    <w:p w14:paraId="0C6675C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bCs/>
          <w:color w:val="auto"/>
          <w:sz w:val="28"/>
          <w:szCs w:val="28"/>
        </w:rPr>
      </w:pPr>
      <w:r>
        <w:rPr>
          <w:rFonts w:hint="eastAsia" w:ascii="黑体" w:hAnsi="黑体" w:eastAsia="黑体" w:cs="黑体"/>
          <w:b w:val="0"/>
          <w:bCs/>
          <w:color w:val="auto"/>
          <w:sz w:val="32"/>
          <w:szCs w:val="32"/>
          <w:lang w:val="en-US" w:eastAsia="zh-CN"/>
        </w:rPr>
        <w:t>五、联系人及联系方式</w:t>
      </w:r>
    </w:p>
    <w:p w14:paraId="229646A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采 购 人：桃江县人民医院</w:t>
      </w:r>
    </w:p>
    <w:p w14:paraId="43EC46E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 系 人：</w:t>
      </w:r>
      <w:r>
        <w:rPr>
          <w:rFonts w:hint="eastAsia" w:ascii="方正仿宋_GB2312" w:hAnsi="方正仿宋_GB2312" w:eastAsia="方正仿宋_GB2312" w:cs="方正仿宋_GB2312"/>
          <w:color w:val="auto"/>
          <w:sz w:val="28"/>
          <w:szCs w:val="28"/>
          <w:lang w:val="en-US" w:eastAsia="zh-CN"/>
        </w:rPr>
        <w:t>陈先生</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电    话：</w:t>
      </w:r>
      <w:r>
        <w:rPr>
          <w:rFonts w:hint="eastAsia" w:ascii="方正仿宋_GB2312" w:hAnsi="方正仿宋_GB2312" w:eastAsia="方正仿宋_GB2312" w:cs="方正仿宋_GB2312"/>
          <w:color w:val="auto"/>
          <w:sz w:val="28"/>
          <w:szCs w:val="28"/>
          <w:lang w:val="en-US" w:eastAsia="zh-CN"/>
        </w:rPr>
        <w:t>15073738000</w:t>
      </w:r>
    </w:p>
    <w:p w14:paraId="0A6BADA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w:t>
      </w:r>
      <w:r>
        <w:rPr>
          <w:rFonts w:hint="eastAsia" w:ascii="方正仿宋_GB2312" w:hAnsi="方正仿宋_GB2312" w:eastAsia="方正仿宋_GB2312" w:cs="方正仿宋_GB2312"/>
          <w:color w:val="auto"/>
          <w:sz w:val="28"/>
          <w:szCs w:val="28"/>
          <w:lang w:eastAsia="zh-CN"/>
        </w:rPr>
        <w:t>桃江县桃花江镇桃花江大道西958号</w:t>
      </w:r>
    </w:p>
    <w:p w14:paraId="5145AB14">
      <w:pPr>
        <w:pageBreakBefore w:val="0"/>
        <w:kinsoku/>
        <w:overflowPunct/>
        <w:topLinePunct w:val="0"/>
        <w:bidi w:val="0"/>
        <w:spacing w:line="594" w:lineRule="exact"/>
        <w:jc w:val="left"/>
        <w:rPr>
          <w:rFonts w:hint="eastAsia" w:ascii="宋体" w:hAnsi="宋体"/>
          <w:color w:val="auto"/>
          <w:sz w:val="28"/>
          <w:szCs w:val="28"/>
        </w:rPr>
      </w:pPr>
    </w:p>
    <w:p w14:paraId="69FE55AD">
      <w:pPr>
        <w:pageBreakBefore w:val="0"/>
        <w:kinsoku/>
        <w:overflowPunct/>
        <w:topLinePunct w:val="0"/>
        <w:bidi w:val="0"/>
        <w:spacing w:line="594" w:lineRule="exact"/>
        <w:jc w:val="left"/>
        <w:rPr>
          <w:rFonts w:hint="eastAsia" w:ascii="宋体" w:hAnsi="宋体"/>
          <w:color w:val="auto"/>
          <w:sz w:val="28"/>
          <w:szCs w:val="28"/>
        </w:rPr>
        <w:sectPr>
          <w:footerReference r:id="rId5" w:type="default"/>
          <w:pgSz w:w="11906" w:h="16838"/>
          <w:pgMar w:top="1474" w:right="1474" w:bottom="1474" w:left="1474" w:header="851" w:footer="992" w:gutter="0"/>
          <w:pgNumType w:fmt="decimal" w:start="1"/>
          <w:cols w:space="720" w:num="1"/>
          <w:docGrid w:type="lines" w:linePitch="312" w:charSpace="0"/>
        </w:sectPr>
      </w:pPr>
    </w:p>
    <w:p w14:paraId="0CC74780">
      <w:pPr>
        <w:pageBreakBefore w:val="0"/>
        <w:kinsoku/>
        <w:overflowPunct/>
        <w:topLinePunct w:val="0"/>
        <w:bidi w:val="0"/>
        <w:spacing w:line="594" w:lineRule="exact"/>
        <w:jc w:val="left"/>
        <w:rPr>
          <w:rFonts w:hint="eastAsia" w:ascii="宋体" w:hAnsi="宋体"/>
          <w:color w:val="auto"/>
          <w:sz w:val="28"/>
          <w:szCs w:val="28"/>
        </w:rPr>
      </w:pPr>
      <w:r>
        <w:rPr>
          <w:rFonts w:hint="eastAsia" w:ascii="方正楷体_GB2312" w:hAnsi="方正楷体_GB2312" w:eastAsia="方正楷体_GB2312" w:cs="方正楷体_GB2312"/>
          <w:b w:val="0"/>
          <w:bCs w:val="0"/>
          <w:color w:val="auto"/>
          <w:sz w:val="32"/>
          <w:szCs w:val="32"/>
        </w:rPr>
        <w:t>附1：</w:t>
      </w:r>
    </w:p>
    <w:p w14:paraId="614D654D">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color w:val="auto"/>
          <w:sz w:val="28"/>
          <w:szCs w:val="28"/>
          <w:u w:val="single"/>
          <w:lang w:eastAsia="zh-CN"/>
        </w:rPr>
      </w:pPr>
      <w:r>
        <w:rPr>
          <w:rFonts w:hint="eastAsia" w:ascii="黑体" w:hAnsi="黑体" w:eastAsia="黑体" w:cs="黑体"/>
          <w:b w:val="0"/>
          <w:bCs w:val="0"/>
          <w:color w:val="auto"/>
          <w:sz w:val="40"/>
          <w:szCs w:val="40"/>
        </w:rPr>
        <w:t>比选通知</w:t>
      </w:r>
    </w:p>
    <w:p w14:paraId="179E9599">
      <w:pPr>
        <w:pStyle w:val="7"/>
        <w:keepNext w:val="0"/>
        <w:keepLines w:val="0"/>
        <w:pageBreakBefore w:val="0"/>
        <w:widowControl w:val="0"/>
        <w:kinsoku/>
        <w:wordWrap/>
        <w:overflowPunct/>
        <w:topLinePunct w:val="0"/>
        <w:autoSpaceDE/>
        <w:autoSpaceDN/>
        <w:bidi w:val="0"/>
        <w:spacing w:line="53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（供应商）</w:t>
      </w:r>
      <w:r>
        <w:rPr>
          <w:rFonts w:hint="eastAsia" w:ascii="方正仿宋_GB2312" w:hAnsi="方正仿宋_GB2312" w:eastAsia="方正仿宋_GB2312" w:cs="方正仿宋_GB2312"/>
          <w:color w:val="auto"/>
          <w:sz w:val="28"/>
          <w:szCs w:val="28"/>
        </w:rPr>
        <w:t>：</w:t>
      </w:r>
    </w:p>
    <w:p w14:paraId="12F79D5B">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u w:val="single"/>
          <w:lang w:eastAsia="zh-CN"/>
        </w:rPr>
        <w:t>电梯年度维保服务</w:t>
      </w:r>
      <w:r>
        <w:rPr>
          <w:rFonts w:hint="eastAsia" w:ascii="方正仿宋_GB2312" w:hAnsi="方正仿宋_GB2312" w:eastAsia="方正仿宋_GB2312" w:cs="方正仿宋_GB2312"/>
          <w:color w:val="auto"/>
          <w:sz w:val="28"/>
          <w:szCs w:val="28"/>
        </w:rPr>
        <w:t>采购项目（采购</w:t>
      </w:r>
      <w:r>
        <w:rPr>
          <w:rFonts w:hint="eastAsia" w:ascii="方正仿宋_GB2312" w:hAnsi="方正仿宋_GB2312" w:eastAsia="方正仿宋_GB2312" w:cs="方正仿宋_GB2312"/>
          <w:color w:val="auto"/>
          <w:sz w:val="28"/>
          <w:szCs w:val="28"/>
          <w:lang w:eastAsia="zh-CN"/>
        </w:rPr>
        <w:t>项目</w:t>
      </w:r>
      <w:r>
        <w:rPr>
          <w:rFonts w:hint="eastAsia" w:ascii="方正仿宋_GB2312" w:hAnsi="方正仿宋_GB2312" w:eastAsia="方正仿宋_GB2312" w:cs="方正仿宋_GB2312"/>
          <w:color w:val="auto"/>
          <w:sz w:val="28"/>
          <w:szCs w:val="28"/>
        </w:rPr>
        <w:t>编号：</w:t>
      </w:r>
      <w:r>
        <w:rPr>
          <w:rFonts w:hint="eastAsia" w:ascii="方正仿宋_GB2312" w:hAnsi="方正仿宋_GB2312" w:eastAsia="方正仿宋_GB2312" w:cs="方正仿宋_GB2312"/>
          <w:color w:val="auto"/>
          <w:sz w:val="28"/>
          <w:szCs w:val="28"/>
          <w:u w:val="single"/>
          <w:lang w:val="en-US" w:eastAsia="zh-CN"/>
        </w:rPr>
        <w:t>HNTJRY-TJ2026-001</w:t>
      </w:r>
      <w:r>
        <w:rPr>
          <w:rFonts w:hint="eastAsia" w:ascii="方正仿宋_GB2312" w:hAnsi="方正仿宋_GB2312" w:eastAsia="方正仿宋_GB2312" w:cs="方正仿宋_GB2312"/>
          <w:color w:val="auto"/>
          <w:sz w:val="28"/>
          <w:szCs w:val="28"/>
        </w:rPr>
        <w:t>）进行院内比选采购。经</w:t>
      </w:r>
      <w:r>
        <w:rPr>
          <w:rFonts w:hint="eastAsia" w:ascii="方正仿宋_GB2312" w:hAnsi="方正仿宋_GB2312" w:eastAsia="方正仿宋_GB2312" w:cs="方正仿宋_GB2312"/>
          <w:color w:val="auto"/>
          <w:sz w:val="28"/>
          <w:szCs w:val="28"/>
          <w:lang w:eastAsia="zh-CN"/>
        </w:rPr>
        <w:t>审核，</w:t>
      </w:r>
      <w:r>
        <w:rPr>
          <w:rFonts w:hint="eastAsia" w:ascii="方正仿宋_GB2312" w:hAnsi="方正仿宋_GB2312" w:eastAsia="方正仿宋_GB2312" w:cs="方正仿宋_GB2312"/>
          <w:color w:val="auto"/>
          <w:sz w:val="28"/>
          <w:szCs w:val="28"/>
          <w:lang w:val="en-US" w:eastAsia="zh-CN"/>
        </w:rPr>
        <w:t>你单位符合</w:t>
      </w:r>
      <w:r>
        <w:rPr>
          <w:rFonts w:hint="eastAsia" w:ascii="方正仿宋_GB2312" w:hAnsi="方正仿宋_GB2312" w:eastAsia="方正仿宋_GB2312" w:cs="方正仿宋_GB2312"/>
          <w:color w:val="auto"/>
          <w:sz w:val="28"/>
          <w:szCs w:val="28"/>
          <w:lang w:eastAsia="zh-CN"/>
        </w:rPr>
        <w:t>资质</w:t>
      </w:r>
      <w:r>
        <w:rPr>
          <w:rFonts w:hint="eastAsia" w:ascii="方正仿宋_GB2312" w:hAnsi="方正仿宋_GB2312" w:eastAsia="方正仿宋_GB2312" w:cs="方正仿宋_GB2312"/>
          <w:color w:val="auto"/>
          <w:sz w:val="28"/>
          <w:szCs w:val="28"/>
          <w:lang w:val="en-US" w:eastAsia="zh-CN"/>
        </w:rPr>
        <w:t>要求</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特</w:t>
      </w:r>
      <w:r>
        <w:rPr>
          <w:rFonts w:hint="eastAsia" w:ascii="方正仿宋_GB2312" w:hAnsi="方正仿宋_GB2312" w:eastAsia="方正仿宋_GB2312" w:cs="方正仿宋_GB2312"/>
          <w:color w:val="auto"/>
          <w:sz w:val="28"/>
          <w:szCs w:val="28"/>
        </w:rPr>
        <w:t>通知你单位参加</w:t>
      </w:r>
      <w:r>
        <w:rPr>
          <w:rFonts w:hint="eastAsia" w:ascii="方正仿宋_GB2312" w:hAnsi="方正仿宋_GB2312" w:eastAsia="方正仿宋_GB2312" w:cs="方正仿宋_GB2312"/>
          <w:color w:val="auto"/>
          <w:sz w:val="28"/>
          <w:szCs w:val="28"/>
          <w:lang w:val="en-US" w:eastAsia="zh-CN"/>
        </w:rPr>
        <w:t>本次采购活动，有关事项通知如下：</w:t>
      </w:r>
    </w:p>
    <w:p w14:paraId="3E297395">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1、请你单位</w:t>
      </w:r>
      <w:r>
        <w:rPr>
          <w:rFonts w:hint="eastAsia" w:ascii="方正仿宋_GB2312" w:hAnsi="方正仿宋_GB2312" w:eastAsia="方正仿宋_GB2312" w:cs="方正仿宋_GB2312"/>
          <w:color w:val="auto"/>
          <w:sz w:val="28"/>
          <w:szCs w:val="28"/>
          <w:lang w:eastAsia="zh-CN"/>
        </w:rPr>
        <w:t>收到本通知后，</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前</w:t>
      </w:r>
      <w:r>
        <w:rPr>
          <w:rFonts w:hint="eastAsia" w:ascii="方正仿宋_GB2312" w:hAnsi="方正仿宋_GB2312" w:eastAsia="方正仿宋_GB2312" w:cs="方正仿宋_GB2312"/>
          <w:color w:val="auto"/>
          <w:sz w:val="28"/>
          <w:szCs w:val="28"/>
          <w:lang w:eastAsia="zh-CN"/>
        </w:rPr>
        <w:t>向我院指定邮箱地址（</w:t>
      </w:r>
      <w:r>
        <w:rPr>
          <w:rFonts w:hint="eastAsia" w:ascii="方正仿宋_GB2312" w:hAnsi="方正仿宋_GB2312" w:eastAsia="方正仿宋_GB2312" w:cs="方正仿宋_GB2312"/>
          <w:color w:val="auto"/>
          <w:sz w:val="28"/>
          <w:szCs w:val="28"/>
          <w:u w:val="single"/>
          <w:lang w:val="en-US" w:eastAsia="zh-CN"/>
        </w:rPr>
        <w:t>tjxrmyycgb@163.com</w:t>
      </w:r>
      <w:r>
        <w:rPr>
          <w:rFonts w:hint="eastAsia" w:ascii="方正仿宋_GB2312" w:hAnsi="方正仿宋_GB2312" w:eastAsia="方正仿宋_GB2312" w:cs="方正仿宋_GB2312"/>
          <w:color w:val="auto"/>
          <w:sz w:val="28"/>
          <w:szCs w:val="28"/>
          <w:lang w:eastAsia="zh-CN"/>
        </w:rPr>
        <w:t>）发送《确认通知》（附</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），我院收到《确认通知》（</w:t>
      </w:r>
      <w:r>
        <w:rPr>
          <w:rFonts w:hint="eastAsia" w:ascii="方正仿宋_GB2312" w:hAnsi="方正仿宋_GB2312" w:eastAsia="方正仿宋_GB2312" w:cs="方正仿宋_GB2312"/>
          <w:color w:val="auto"/>
          <w:sz w:val="28"/>
          <w:szCs w:val="28"/>
          <w:lang w:val="en-US" w:eastAsia="zh-CN"/>
        </w:rPr>
        <w:t>扫描件原件</w:t>
      </w:r>
      <w:r>
        <w:rPr>
          <w:rFonts w:hint="eastAsia" w:ascii="方正仿宋_GB2312" w:hAnsi="方正仿宋_GB2312" w:eastAsia="方正仿宋_GB2312" w:cs="方正仿宋_GB2312"/>
          <w:color w:val="auto"/>
          <w:sz w:val="28"/>
          <w:szCs w:val="28"/>
          <w:lang w:eastAsia="zh-CN"/>
        </w:rPr>
        <w:t>）后，</w:t>
      </w:r>
      <w:r>
        <w:rPr>
          <w:rFonts w:hint="eastAsia" w:ascii="方正仿宋_GB2312" w:hAnsi="方正仿宋_GB2312" w:eastAsia="方正仿宋_GB2312" w:cs="方正仿宋_GB2312"/>
          <w:color w:val="auto"/>
          <w:sz w:val="28"/>
          <w:szCs w:val="28"/>
          <w:lang w:val="en-US" w:eastAsia="zh-CN"/>
        </w:rPr>
        <w:t>请</w:t>
      </w:r>
      <w:r>
        <w:rPr>
          <w:rFonts w:hint="eastAsia" w:ascii="方正仿宋_GB2312" w:hAnsi="方正仿宋_GB2312" w:eastAsia="方正仿宋_GB2312" w:cs="方正仿宋_GB2312"/>
          <w:color w:val="auto"/>
          <w:sz w:val="28"/>
          <w:szCs w:val="28"/>
          <w:lang w:eastAsia="zh-CN"/>
        </w:rPr>
        <w:t>你单位</w:t>
      </w:r>
      <w:r>
        <w:rPr>
          <w:rFonts w:hint="eastAsia" w:ascii="方正仿宋_GB2312" w:hAnsi="方正仿宋_GB2312" w:eastAsia="方正仿宋_GB2312" w:cs="方正仿宋_GB2312"/>
          <w:color w:val="auto"/>
          <w:sz w:val="28"/>
          <w:szCs w:val="28"/>
          <w:lang w:val="en-US" w:eastAsia="zh-CN"/>
        </w:rPr>
        <w:t>按照《比选通知》及《确认通知》内容，在规定的时间、地点参与该采购项目的开评标会议</w:t>
      </w:r>
      <w:r>
        <w:rPr>
          <w:rFonts w:hint="eastAsia" w:ascii="方正仿宋_GB2312" w:hAnsi="方正仿宋_GB2312" w:eastAsia="方正仿宋_GB2312" w:cs="方正仿宋_GB2312"/>
          <w:color w:val="auto"/>
          <w:sz w:val="28"/>
          <w:szCs w:val="28"/>
        </w:rPr>
        <w:t>。</w:t>
      </w:r>
    </w:p>
    <w:p w14:paraId="4FEBB8BB">
      <w:pPr>
        <w:pStyle w:val="10"/>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、持法定代表人身份证明或授权委托书(附法定代表人身份证明)、个人身份证及</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采购文件中规定的资质原件参加</w:t>
      </w:r>
      <w:r>
        <w:rPr>
          <w:rFonts w:hint="eastAsia" w:ascii="方正仿宋_GB2312" w:hAnsi="方正仿宋_GB2312" w:eastAsia="方正仿宋_GB2312" w:cs="方正仿宋_GB2312"/>
          <w:color w:val="auto"/>
          <w:sz w:val="28"/>
          <w:szCs w:val="28"/>
          <w:lang w:val="en-US" w:eastAsia="zh-CN"/>
        </w:rPr>
        <w:t>开评标</w:t>
      </w:r>
      <w:r>
        <w:rPr>
          <w:rFonts w:hint="eastAsia" w:ascii="方正仿宋_GB2312" w:hAnsi="方正仿宋_GB2312" w:eastAsia="方正仿宋_GB2312" w:cs="方正仿宋_GB2312"/>
          <w:color w:val="auto"/>
          <w:sz w:val="28"/>
          <w:szCs w:val="28"/>
        </w:rPr>
        <w:t>会议。</w:t>
      </w:r>
    </w:p>
    <w:p w14:paraId="6A615BFA">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、提交响应文件</w:t>
      </w:r>
      <w:r>
        <w:rPr>
          <w:rFonts w:hint="eastAsia" w:ascii="方正仿宋_GB2312" w:hAnsi="方正仿宋_GB2312" w:eastAsia="方正仿宋_GB2312" w:cs="方正仿宋_GB2312"/>
          <w:color w:val="auto"/>
          <w:sz w:val="28"/>
          <w:szCs w:val="28"/>
          <w:lang w:eastAsia="zh-CN"/>
        </w:rPr>
        <w:t>（正本</w:t>
      </w:r>
      <w:r>
        <w:rPr>
          <w:rFonts w:hint="eastAsia" w:ascii="方正仿宋_GB2312" w:hAnsi="方正仿宋_GB2312" w:eastAsia="方正仿宋_GB2312" w:cs="方正仿宋_GB2312"/>
          <w:color w:val="auto"/>
          <w:sz w:val="28"/>
          <w:szCs w:val="28"/>
          <w:lang w:val="en-US" w:eastAsia="zh-CN"/>
        </w:rPr>
        <w:t>1份，副本2份，密封，盖公章、签署齐全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的截止时间</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分(北京时间)，地点：</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19楼小会议室 </w:t>
      </w:r>
      <w:r>
        <w:rPr>
          <w:rFonts w:hint="eastAsia" w:ascii="方正仿宋_GB2312" w:hAnsi="方正仿宋_GB2312" w:eastAsia="方正仿宋_GB2312" w:cs="方正仿宋_GB2312"/>
          <w:color w:val="auto"/>
          <w:sz w:val="28"/>
          <w:szCs w:val="28"/>
          <w:u w:val="none"/>
          <w:lang w:val="en-US" w:eastAsia="zh-CN"/>
        </w:rPr>
        <w:t>。</w:t>
      </w:r>
    </w:p>
    <w:p w14:paraId="6EE2C742">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响应文件</w:t>
      </w:r>
      <w:r>
        <w:rPr>
          <w:rFonts w:hint="eastAsia" w:ascii="方正仿宋_GB2312" w:hAnsi="方正仿宋_GB2312" w:eastAsia="方正仿宋_GB2312" w:cs="方正仿宋_GB2312"/>
          <w:color w:val="auto"/>
          <w:sz w:val="28"/>
          <w:szCs w:val="28"/>
        </w:rPr>
        <w:t>逾期送达或者</w:t>
      </w:r>
      <w:r>
        <w:rPr>
          <w:rFonts w:hint="eastAsia" w:ascii="方正仿宋_GB2312" w:hAnsi="方正仿宋_GB2312" w:eastAsia="方正仿宋_GB2312" w:cs="方正仿宋_GB2312"/>
          <w:color w:val="auto"/>
          <w:sz w:val="28"/>
          <w:szCs w:val="28"/>
          <w:lang w:eastAsia="zh-CN"/>
        </w:rPr>
        <w:t>未</w:t>
      </w:r>
      <w:r>
        <w:rPr>
          <w:rFonts w:hint="eastAsia" w:ascii="方正仿宋_GB2312" w:hAnsi="方正仿宋_GB2312" w:eastAsia="方正仿宋_GB2312" w:cs="方正仿宋_GB2312"/>
          <w:color w:val="auto"/>
          <w:sz w:val="28"/>
          <w:szCs w:val="28"/>
        </w:rPr>
        <w:t>按要求密封</w:t>
      </w:r>
      <w:r>
        <w:rPr>
          <w:rFonts w:hint="eastAsia" w:ascii="方正仿宋_GB2312" w:hAnsi="方正仿宋_GB2312" w:eastAsia="方正仿宋_GB2312" w:cs="方正仿宋_GB2312"/>
          <w:color w:val="auto"/>
          <w:sz w:val="28"/>
          <w:szCs w:val="28"/>
          <w:lang w:eastAsia="zh-CN"/>
        </w:rPr>
        <w:t>保存的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报价表、分项报价表</w:t>
      </w:r>
      <w:r>
        <w:rPr>
          <w:rFonts w:hint="eastAsia" w:ascii="方正仿宋_GB2312" w:hAnsi="方正仿宋_GB2312" w:eastAsia="方正仿宋_GB2312" w:cs="方正仿宋_GB2312"/>
          <w:color w:val="auto"/>
          <w:sz w:val="28"/>
          <w:szCs w:val="28"/>
          <w:lang w:val="en-US" w:eastAsia="zh-CN"/>
        </w:rPr>
        <w:t>没有另外</w:t>
      </w:r>
      <w:r>
        <w:rPr>
          <w:rFonts w:hint="eastAsia" w:ascii="方正仿宋_GB2312" w:hAnsi="方正仿宋_GB2312" w:eastAsia="方正仿宋_GB2312" w:cs="方正仿宋_GB2312"/>
          <w:color w:val="auto"/>
          <w:sz w:val="28"/>
          <w:szCs w:val="28"/>
          <w:lang w:eastAsia="zh-CN"/>
        </w:rPr>
        <w:t>单独密封递交</w:t>
      </w:r>
      <w:r>
        <w:rPr>
          <w:rFonts w:hint="eastAsia" w:ascii="方正仿宋_GB2312" w:hAnsi="方正仿宋_GB2312" w:eastAsia="方正仿宋_GB2312" w:cs="方正仿宋_GB2312"/>
          <w:color w:val="auto"/>
          <w:sz w:val="28"/>
          <w:szCs w:val="28"/>
          <w:lang w:val="en-US" w:eastAsia="zh-CN"/>
        </w:rPr>
        <w:t>的</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rPr>
        <w:t>采购人</w:t>
      </w:r>
      <w:r>
        <w:rPr>
          <w:rFonts w:hint="eastAsia" w:ascii="方正仿宋_GB2312" w:hAnsi="方正仿宋_GB2312" w:eastAsia="方正仿宋_GB2312" w:cs="方正仿宋_GB2312"/>
          <w:color w:val="auto"/>
          <w:sz w:val="28"/>
          <w:szCs w:val="28"/>
        </w:rPr>
        <w:t>将拒绝接收。</w:t>
      </w:r>
    </w:p>
    <w:p w14:paraId="35AD1AAF">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、你单位收到本通知后，请于</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分(北京时间)前来</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19楼会议室</w:t>
      </w:r>
      <w:r>
        <w:rPr>
          <w:rFonts w:hint="eastAsia" w:ascii="方正仿宋_GB2312" w:hAnsi="方正仿宋_GB2312" w:eastAsia="方正仿宋_GB2312" w:cs="方正仿宋_GB2312"/>
          <w:color w:val="auto"/>
          <w:sz w:val="28"/>
          <w:szCs w:val="28"/>
        </w:rPr>
        <w:t>参加</w:t>
      </w:r>
      <w:r>
        <w:rPr>
          <w:rFonts w:hint="eastAsia" w:ascii="方正仿宋_GB2312" w:hAnsi="方正仿宋_GB2312" w:eastAsia="方正仿宋_GB2312" w:cs="方正仿宋_GB2312"/>
          <w:color w:val="auto"/>
          <w:sz w:val="28"/>
          <w:szCs w:val="28"/>
          <w:lang w:eastAsia="zh-CN"/>
        </w:rPr>
        <w:t>采购活动</w:t>
      </w:r>
      <w:r>
        <w:rPr>
          <w:rFonts w:hint="eastAsia" w:ascii="方正仿宋_GB2312" w:hAnsi="方正仿宋_GB2312" w:eastAsia="方正仿宋_GB2312" w:cs="方正仿宋_GB2312"/>
          <w:color w:val="auto"/>
          <w:sz w:val="28"/>
          <w:szCs w:val="28"/>
        </w:rPr>
        <w:t>。</w:t>
      </w:r>
    </w:p>
    <w:p w14:paraId="215C79A0">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kern w:val="0"/>
          <w:sz w:val="28"/>
          <w:szCs w:val="28"/>
          <w:lang w:val="en-US" w:eastAsia="zh-CN"/>
        </w:rPr>
        <w:t>6</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bCs/>
          <w:color w:val="auto"/>
          <w:sz w:val="28"/>
          <w:szCs w:val="28"/>
        </w:rPr>
        <w:t>联系方式：</w:t>
      </w:r>
    </w:p>
    <w:p w14:paraId="5E61CBC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采 购 人：桃江县人民医院</w:t>
      </w:r>
    </w:p>
    <w:p w14:paraId="7E2EFCD4">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 系 人：</w:t>
      </w:r>
      <w:r>
        <w:rPr>
          <w:rFonts w:hint="eastAsia" w:ascii="方正仿宋_GB2312" w:hAnsi="方正仿宋_GB2312" w:eastAsia="方正仿宋_GB2312" w:cs="方正仿宋_GB2312"/>
          <w:color w:val="auto"/>
          <w:sz w:val="28"/>
          <w:szCs w:val="28"/>
          <w:lang w:val="en-US" w:eastAsia="zh-CN"/>
        </w:rPr>
        <w:t xml:space="preserve">陈先生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15073738000</w:t>
      </w:r>
    </w:p>
    <w:p w14:paraId="6714FFEC">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邮箱地址：tjxrmyycgb@163.com</w:t>
      </w:r>
    </w:p>
    <w:p w14:paraId="5CADB35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r>
        <w:rPr>
          <w:rFonts w:hint="eastAsia" w:ascii="方正仿宋_GB2312" w:hAnsi="方正仿宋_GB2312" w:eastAsia="方正仿宋_GB2312" w:cs="方正仿宋_GB2312"/>
          <w:color w:val="auto"/>
          <w:sz w:val="28"/>
          <w:szCs w:val="28"/>
          <w:lang w:eastAsia="zh-CN"/>
        </w:rPr>
        <w:t>地    址：桃江县桃花江镇桃花江大道西958号</w:t>
      </w:r>
    </w:p>
    <w:p w14:paraId="55B41580">
      <w:pPr>
        <w:pageBreakBefore w:val="0"/>
        <w:kinsoku/>
        <w:overflowPunct/>
        <w:topLinePunct w:val="0"/>
        <w:bidi w:val="0"/>
        <w:spacing w:line="594" w:lineRule="exact"/>
        <w:jc w:val="left"/>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val="0"/>
          <w:bCs w:val="0"/>
          <w:color w:val="auto"/>
          <w:sz w:val="32"/>
          <w:szCs w:val="32"/>
        </w:rPr>
        <w:t>附</w:t>
      </w:r>
      <w:r>
        <w:rPr>
          <w:rFonts w:hint="eastAsia" w:ascii="方正楷体_GB2312" w:hAnsi="方正楷体_GB2312" w:eastAsia="方正楷体_GB2312" w:cs="方正楷体_GB2312"/>
          <w:b w:val="0"/>
          <w:bCs w:val="0"/>
          <w:color w:val="auto"/>
          <w:sz w:val="32"/>
          <w:szCs w:val="32"/>
          <w:lang w:val="en-US" w:eastAsia="zh-CN"/>
        </w:rPr>
        <w:t>2</w:t>
      </w:r>
      <w:r>
        <w:rPr>
          <w:rFonts w:hint="eastAsia" w:ascii="方正楷体_GB2312" w:hAnsi="方正楷体_GB2312" w:eastAsia="方正楷体_GB2312" w:cs="方正楷体_GB2312"/>
          <w:b w:val="0"/>
          <w:bCs w:val="0"/>
          <w:color w:val="auto"/>
          <w:sz w:val="32"/>
          <w:szCs w:val="32"/>
        </w:rPr>
        <w:t>：</w:t>
      </w:r>
    </w:p>
    <w:p w14:paraId="25E6D7B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lang w:eastAsia="zh-CN"/>
        </w:rPr>
        <w:t>确认通知</w:t>
      </w:r>
    </w:p>
    <w:p w14:paraId="22A36551">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62E8DFB7">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（采购人）：</w:t>
      </w:r>
    </w:p>
    <w:p w14:paraId="428F4ABB">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我单位已于</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日收到你单位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日发出的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（项目名称）比选通知，确认</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（参加/不参加）此次采购活动。</w:t>
      </w:r>
    </w:p>
    <w:p w14:paraId="3E26C36E">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我单位接收电子文件的邮箱：</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44CF6A61">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联系人姓名：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，电话号码：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215F4284">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特此！</w:t>
      </w:r>
    </w:p>
    <w:p w14:paraId="25D082C1">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确认。</w:t>
      </w:r>
    </w:p>
    <w:p w14:paraId="4EDCD3B2">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heme="minorEastAsia" w:hAnsiTheme="minorEastAsia" w:eastAsiaTheme="minorEastAsia" w:cstheme="minorEastAsia"/>
          <w:color w:val="auto"/>
          <w:sz w:val="28"/>
          <w:szCs w:val="28"/>
          <w:u w:val="single"/>
          <w:lang w:val="en-US" w:eastAsia="zh-CN"/>
        </w:rPr>
      </w:pPr>
    </w:p>
    <w:p w14:paraId="57FC3E7A">
      <w:pPr>
        <w:pStyle w:val="18"/>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3C27C20E">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14:paraId="0D0A31A6">
      <w:pPr>
        <w:pStyle w:val="10"/>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252CFA6B">
      <w:pPr>
        <w:pStyle w:val="10"/>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法定代表人或授权代表人（签字或印章）：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17FC4529">
      <w:pPr>
        <w:pStyle w:val="10"/>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日           </w:t>
      </w:r>
    </w:p>
    <w:p w14:paraId="049279F4">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eastAsia="zh-CN"/>
        </w:rPr>
      </w:pPr>
    </w:p>
    <w:p w14:paraId="4BBA26D8">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7D436DC7">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2BFE3BB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0525169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p>
    <w:p w14:paraId="21CA50F8">
      <w:pPr>
        <w:adjustRightInd w:val="0"/>
        <w:snapToGrid w:val="0"/>
        <w:spacing w:line="360" w:lineRule="auto"/>
        <w:jc w:val="center"/>
        <w:rPr>
          <w:rFonts w:hint="eastAsia" w:ascii="黑体" w:hAnsi="黑体" w:eastAsia="黑体" w:cs="黑体"/>
          <w:b w:val="0"/>
          <w:bCs w:val="0"/>
          <w:color w:val="auto"/>
          <w:sz w:val="36"/>
          <w:szCs w:val="36"/>
          <w:lang w:eastAsia="zh-CN"/>
        </w:rPr>
      </w:pPr>
      <w:bookmarkStart w:id="4" w:name="_Toc34758541"/>
      <w:r>
        <w:rPr>
          <w:rFonts w:hint="eastAsia" w:ascii="黑体" w:hAnsi="黑体" w:eastAsia="黑体" w:cs="黑体"/>
          <w:b w:val="0"/>
          <w:bCs w:val="0"/>
          <w:color w:val="auto"/>
          <w:sz w:val="36"/>
          <w:szCs w:val="36"/>
          <w:lang w:val="en-US" w:eastAsia="zh-CN"/>
        </w:rPr>
        <w:t>二、 比选须知前附表</w:t>
      </w:r>
      <w:bookmarkEnd w:id="4"/>
    </w:p>
    <w:p w14:paraId="3BEE82A2">
      <w:pPr>
        <w:pageBreakBefore w:val="0"/>
        <w:kinsoku/>
        <w:overflowPunct/>
        <w:topLinePunct w:val="0"/>
        <w:bidi w:val="0"/>
        <w:spacing w:line="594" w:lineRule="exac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注：本项目启用的条款在“编列内容规定”栏内以“■”标注。</w:t>
      </w:r>
    </w:p>
    <w:tbl>
      <w:tblPr>
        <w:tblStyle w:val="19"/>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318"/>
        <w:gridCol w:w="5370"/>
      </w:tblGrid>
      <w:tr w14:paraId="39CDF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14:paraId="557A2C3B">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条款号</w:t>
            </w:r>
          </w:p>
        </w:tc>
        <w:tc>
          <w:tcPr>
            <w:tcW w:w="2318" w:type="dxa"/>
            <w:vAlign w:val="center"/>
          </w:tcPr>
          <w:p w14:paraId="43C849BE">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条款名称</w:t>
            </w:r>
          </w:p>
        </w:tc>
        <w:tc>
          <w:tcPr>
            <w:tcW w:w="5370" w:type="dxa"/>
            <w:vAlign w:val="center"/>
          </w:tcPr>
          <w:p w14:paraId="701C3E79">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编列内容规定</w:t>
            </w:r>
          </w:p>
        </w:tc>
      </w:tr>
      <w:tr w14:paraId="79B04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2042BBD5">
            <w:pPr>
              <w:pageBreakBefore w:val="0"/>
              <w:kinsoku/>
              <w:overflowPunct/>
              <w:topLinePunct w:val="0"/>
              <w:bidi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一、说明</w:t>
            </w:r>
          </w:p>
        </w:tc>
      </w:tr>
      <w:tr w14:paraId="59559C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14:paraId="4B7E649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1</w:t>
            </w:r>
          </w:p>
        </w:tc>
        <w:tc>
          <w:tcPr>
            <w:tcW w:w="2318" w:type="dxa"/>
            <w:vAlign w:val="center"/>
          </w:tcPr>
          <w:p w14:paraId="304BF4B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rPr>
              <w:t>采购项目</w:t>
            </w:r>
            <w:r>
              <w:rPr>
                <w:rFonts w:hint="eastAsia" w:ascii="方正楷体_GB2312" w:hAnsi="方正楷体_GB2312" w:eastAsia="方正楷体_GB2312" w:cs="方正楷体_GB2312"/>
                <w:color w:val="auto"/>
                <w:sz w:val="28"/>
                <w:szCs w:val="28"/>
                <w:lang w:val="en-US" w:eastAsia="zh-CN"/>
              </w:rPr>
              <w:t>名称</w:t>
            </w:r>
          </w:p>
        </w:tc>
        <w:tc>
          <w:tcPr>
            <w:tcW w:w="5370" w:type="dxa"/>
            <w:vAlign w:val="center"/>
          </w:tcPr>
          <w:p w14:paraId="2B7A29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u w:val="none"/>
                <w:lang w:val="zh-CN"/>
              </w:rPr>
              <w:t>桃江县人民医院电梯年度维保服务采购</w:t>
            </w:r>
          </w:p>
        </w:tc>
      </w:tr>
      <w:tr w14:paraId="2899C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45EB04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2</w:t>
            </w:r>
          </w:p>
        </w:tc>
        <w:tc>
          <w:tcPr>
            <w:tcW w:w="2318" w:type="dxa"/>
            <w:vAlign w:val="center"/>
          </w:tcPr>
          <w:p w14:paraId="463C4F4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2312" w:hAnsi="方正楷体_GB2312" w:eastAsia="方正楷体_GB2312" w:cs="方正楷体_GB2312"/>
                <w:color w:val="auto"/>
                <w:sz w:val="28"/>
                <w:szCs w:val="28"/>
              </w:rPr>
            </w:pPr>
            <w:r>
              <w:rPr>
                <w:rFonts w:hint="eastAsia" w:ascii="方正楷体_GB2312" w:hAnsi="方正楷体_GB2312" w:eastAsia="方正楷体_GB2312" w:cs="方正楷体_GB2312"/>
                <w:color w:val="auto"/>
                <w:sz w:val="28"/>
                <w:szCs w:val="28"/>
              </w:rPr>
              <w:t>采购人名称、地址、电话、联系人</w:t>
            </w:r>
          </w:p>
        </w:tc>
        <w:tc>
          <w:tcPr>
            <w:tcW w:w="5370" w:type="dxa"/>
            <w:vAlign w:val="center"/>
          </w:tcPr>
          <w:p w14:paraId="78C30B49">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名  称：</w:t>
            </w:r>
            <w:r>
              <w:rPr>
                <w:rFonts w:hint="eastAsia" w:ascii="方正仿宋_GB2312" w:hAnsi="方正仿宋_GB2312" w:eastAsia="方正仿宋_GB2312" w:cs="方正仿宋_GB2312"/>
                <w:color w:val="auto"/>
                <w:sz w:val="28"/>
                <w:szCs w:val="28"/>
                <w:lang w:eastAsia="zh-CN"/>
              </w:rPr>
              <w:t>桃江县人民医院</w:t>
            </w:r>
          </w:p>
          <w:p w14:paraId="4EB3D69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址：桃江县桃花江镇</w:t>
            </w:r>
            <w:r>
              <w:rPr>
                <w:rFonts w:hint="eastAsia" w:ascii="方正仿宋_GB2312" w:hAnsi="方正仿宋_GB2312" w:eastAsia="方正仿宋_GB2312" w:cs="方正仿宋_GB2312"/>
                <w:color w:val="auto"/>
                <w:sz w:val="28"/>
                <w:szCs w:val="28"/>
                <w:lang w:eastAsia="zh-CN"/>
              </w:rPr>
              <w:t>桃花江大道西</w:t>
            </w:r>
          </w:p>
          <w:p w14:paraId="4EE0673C">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958号</w:t>
            </w:r>
          </w:p>
          <w:p w14:paraId="58C32C22">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color w:val="auto"/>
                <w:sz w:val="28"/>
                <w:szCs w:val="28"/>
                <w:lang w:eastAsia="zh-CN"/>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lang w:eastAsia="zh-CN"/>
              </w:rPr>
              <w:t>陈先生</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eastAsia="zh-CN"/>
              </w:rPr>
              <w:t>15073738000</w:t>
            </w:r>
          </w:p>
        </w:tc>
      </w:tr>
      <w:tr w14:paraId="030E0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78B333F">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2312" w:hAnsi="方正楷体_GB2312" w:eastAsia="方正楷体_GB2312" w:cs="方正楷体_GB2312"/>
                <w:color w:val="auto"/>
                <w:sz w:val="28"/>
                <w:szCs w:val="28"/>
                <w:highlight w:val="none"/>
                <w:lang w:eastAsia="zh-CN"/>
              </w:rPr>
            </w:pPr>
            <w:r>
              <w:rPr>
                <w:rFonts w:hint="eastAsia" w:ascii="方正楷体_GB2312" w:hAnsi="方正楷体_GB2312" w:eastAsia="方正楷体_GB2312" w:cs="方正楷体_GB2312"/>
                <w:color w:val="auto"/>
                <w:sz w:val="28"/>
                <w:szCs w:val="28"/>
                <w:highlight w:val="none"/>
                <w:lang w:val="en-US" w:eastAsia="zh-CN"/>
              </w:rPr>
              <w:t>3</w:t>
            </w:r>
          </w:p>
        </w:tc>
        <w:tc>
          <w:tcPr>
            <w:tcW w:w="2318" w:type="dxa"/>
            <w:vAlign w:val="center"/>
          </w:tcPr>
          <w:p w14:paraId="45210DD0">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楷体_GB2312" w:hAnsi="方正楷体_GB2312" w:eastAsia="方正楷体_GB2312" w:cs="方正楷体_GB2312"/>
                <w:color w:val="auto"/>
                <w:sz w:val="28"/>
                <w:szCs w:val="28"/>
                <w:highlight w:val="none"/>
              </w:rPr>
            </w:pPr>
            <w:r>
              <w:rPr>
                <w:rFonts w:hint="eastAsia" w:ascii="方正楷体_GB2312" w:hAnsi="方正楷体_GB2312" w:eastAsia="方正楷体_GB2312" w:cs="方正楷体_GB2312"/>
                <w:color w:val="auto"/>
                <w:sz w:val="28"/>
                <w:szCs w:val="28"/>
                <w:highlight w:val="none"/>
              </w:rPr>
              <w:t>投标人资格条件</w:t>
            </w:r>
          </w:p>
        </w:tc>
        <w:tc>
          <w:tcPr>
            <w:tcW w:w="5370" w:type="dxa"/>
            <w:vAlign w:val="center"/>
          </w:tcPr>
          <w:p w14:paraId="7559783A">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基本资格条件：必须是在中华人民共和国境内注册登记的法人、其他组织或者自然人，且应当符合《政府采购法》第二十二条第一款的规定，即：</w:t>
            </w:r>
          </w:p>
          <w:p w14:paraId="0367BDF3">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（1）具有独立承担民事责任的能力；</w:t>
            </w:r>
          </w:p>
          <w:p w14:paraId="5BA117CD">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（2）具有良好的商业信誉和健全的财务会计制度；</w:t>
            </w:r>
          </w:p>
          <w:p w14:paraId="51107F8A">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（3）具有履行合同所必需的设备和专业技术能力；</w:t>
            </w:r>
          </w:p>
          <w:p w14:paraId="45264B3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（4）有依法缴纳税收和社会保障资金的良好记录；</w:t>
            </w:r>
          </w:p>
          <w:p w14:paraId="0B6F28A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（5）参加政府采购活动前三年内，在经营活动中没有重大违法记录；</w:t>
            </w:r>
          </w:p>
          <w:p w14:paraId="2F73BAEB">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（6）法律、行政法规规定的其他条件。</w:t>
            </w:r>
          </w:p>
          <w:p w14:paraId="6A9822C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2、特定资格条件：</w:t>
            </w:r>
          </w:p>
          <w:p w14:paraId="4A0A1BD3">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投标人具有</w:t>
            </w:r>
            <w:r>
              <w:rPr>
                <w:rFonts w:hint="eastAsia" w:ascii="方正仿宋_GB2312" w:hAnsi="方正仿宋_GB2312" w:eastAsia="方正仿宋_GB2312" w:cs="方正仿宋_GB2312"/>
                <w:strike w:val="0"/>
                <w:dstrike w:val="0"/>
                <w:color w:val="auto"/>
                <w:sz w:val="28"/>
                <w:szCs w:val="28"/>
                <w:highlight w:val="none"/>
                <w:u w:val="single"/>
                <w:lang w:val="en-US" w:eastAsia="zh-CN"/>
              </w:rPr>
              <w:t>市场监督管理局</w:t>
            </w:r>
            <w:r>
              <w:rPr>
                <w:rFonts w:hint="eastAsia" w:ascii="方正仿宋_GB2312" w:hAnsi="方正仿宋_GB2312" w:eastAsia="方正仿宋_GB2312" w:cs="方正仿宋_GB2312"/>
                <w:color w:val="auto"/>
                <w:sz w:val="28"/>
                <w:szCs w:val="28"/>
                <w:highlight w:val="none"/>
                <w:u w:val="single"/>
                <w:lang w:val="en-US" w:eastAsia="zh-CN"/>
              </w:rPr>
              <w:t>颁发的《中华人民共和国特种设备生产许可证》电梯制造（含安装、修理、改造）或《中华人民共和国特种设备生产许可证》电梯安装（含修理），且资质证书在有效期内。</w:t>
            </w:r>
          </w:p>
          <w:p w14:paraId="43ABCE1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3、单位负责人为同一人或者存在直接控股、管理关系的不同投标人，不得参加同一合同项下的政府采购活动。</w:t>
            </w:r>
          </w:p>
          <w:p w14:paraId="01E61196">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4、为本采购项目提供整体设计、规范编制或者项目管理、监理、检测等服务的，不得再参加此项目的其他招标采购活动。</w:t>
            </w:r>
          </w:p>
          <w:p w14:paraId="79586EA1">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5、列入失信被执行人、重大税收违法案件当事人名单，列入政府采购严重违法失信行为记录名单的，拒绝其参与政府采购活动。</w:t>
            </w:r>
          </w:p>
        </w:tc>
      </w:tr>
      <w:tr w14:paraId="58A91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590BC7B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4</w:t>
            </w:r>
          </w:p>
        </w:tc>
        <w:tc>
          <w:tcPr>
            <w:tcW w:w="2318" w:type="dxa"/>
            <w:vAlign w:val="center"/>
          </w:tcPr>
          <w:p w14:paraId="214D8EDE">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接受联合体形式投标</w:t>
            </w:r>
          </w:p>
        </w:tc>
        <w:tc>
          <w:tcPr>
            <w:tcW w:w="5370" w:type="dxa"/>
            <w:vAlign w:val="center"/>
          </w:tcPr>
          <w:p w14:paraId="133CEBC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sym w:font="Wingdings" w:char="00A8"/>
            </w:r>
            <w:r>
              <w:rPr>
                <w:rFonts w:hint="eastAsia" w:ascii="方正仿宋_GB2312" w:hAnsi="方正仿宋_GB2312" w:eastAsia="方正仿宋_GB2312" w:cs="方正仿宋_GB2312"/>
                <w:color w:val="auto"/>
                <w:sz w:val="28"/>
                <w:szCs w:val="28"/>
              </w:rPr>
              <w:t xml:space="preserve">  接受联合体投标</w:t>
            </w:r>
          </w:p>
          <w:p w14:paraId="4DD5438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不接受联合体投标</w:t>
            </w:r>
          </w:p>
        </w:tc>
      </w:tr>
      <w:tr w14:paraId="3BB83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68EFF6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5</w:t>
            </w:r>
          </w:p>
        </w:tc>
        <w:tc>
          <w:tcPr>
            <w:tcW w:w="2318" w:type="dxa"/>
            <w:vAlign w:val="center"/>
          </w:tcPr>
          <w:p w14:paraId="279CDA65">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组织现场考察或者召开答疑会</w:t>
            </w:r>
          </w:p>
        </w:tc>
        <w:tc>
          <w:tcPr>
            <w:tcW w:w="5370" w:type="dxa"/>
            <w:vAlign w:val="center"/>
          </w:tcPr>
          <w:p w14:paraId="1D3C540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■不组织，自行勘察现场</w:t>
            </w:r>
            <w:r>
              <w:rPr>
                <w:rFonts w:hint="eastAsia" w:ascii="方正仿宋_GB2312" w:hAnsi="方正仿宋_GB2312" w:eastAsia="方正仿宋_GB2312" w:cs="方正仿宋_GB2312"/>
                <w:color w:val="auto"/>
                <w:sz w:val="28"/>
                <w:szCs w:val="28"/>
                <w:lang w:eastAsia="zh-CN"/>
              </w:rPr>
              <w:t>。</w:t>
            </w:r>
          </w:p>
          <w:p w14:paraId="432D8F5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□组织，时间：/ 地点：/联系人：/ ，</w:t>
            </w:r>
          </w:p>
          <w:p w14:paraId="7E28D99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或者在</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提供期限截止后以书面形式通知所有获取</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的潜在投标人。</w:t>
            </w:r>
          </w:p>
        </w:tc>
      </w:tr>
      <w:tr w14:paraId="5758C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14:paraId="205159D6">
            <w:pPr>
              <w:pageBreakBefore w:val="0"/>
              <w:kinsoku/>
              <w:overflowPunct/>
              <w:topLinePunct w:val="0"/>
              <w:bidi w:val="0"/>
              <w:adjustRightInd w:val="0"/>
              <w:snapToGrid w:val="0"/>
              <w:spacing w:line="594" w:lineRule="exact"/>
              <w:rPr>
                <w:rFonts w:asciiTheme="minorEastAsia" w:hAnsiTheme="minorEastAsia" w:eastAsiaTheme="minorEastAsia"/>
                <w:b/>
                <w:color w:val="auto"/>
                <w:sz w:val="28"/>
                <w:szCs w:val="28"/>
                <w:highlight w:val="none"/>
              </w:rPr>
            </w:pPr>
            <w:r>
              <w:rPr>
                <w:rFonts w:hint="eastAsia" w:ascii="方正楷体_GB2312" w:hAnsi="方正楷体_GB2312" w:eastAsia="方正楷体_GB2312" w:cs="方正楷体_GB2312"/>
                <w:b w:val="0"/>
                <w:bCs w:val="0"/>
                <w:color w:val="auto"/>
                <w:sz w:val="32"/>
                <w:szCs w:val="32"/>
              </w:rPr>
              <w:t>二、</w:t>
            </w:r>
            <w:r>
              <w:rPr>
                <w:rFonts w:hint="eastAsia" w:ascii="方正楷体_GB2312" w:hAnsi="方正楷体_GB2312" w:eastAsia="方正楷体_GB2312" w:cs="方正楷体_GB2312"/>
                <w:b w:val="0"/>
                <w:bCs w:val="0"/>
                <w:color w:val="auto"/>
                <w:sz w:val="32"/>
                <w:szCs w:val="32"/>
                <w:lang w:eastAsia="zh-CN"/>
              </w:rPr>
              <w:t>比选</w:t>
            </w:r>
            <w:r>
              <w:rPr>
                <w:rFonts w:hint="eastAsia" w:ascii="方正楷体_GB2312" w:hAnsi="方正楷体_GB2312" w:eastAsia="方正楷体_GB2312" w:cs="方正楷体_GB2312"/>
                <w:b w:val="0"/>
                <w:bCs w:val="0"/>
                <w:color w:val="auto"/>
                <w:sz w:val="32"/>
                <w:szCs w:val="32"/>
              </w:rPr>
              <w:t>文件</w:t>
            </w:r>
          </w:p>
        </w:tc>
      </w:tr>
      <w:tr w14:paraId="7CF45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C640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6</w:t>
            </w:r>
          </w:p>
        </w:tc>
        <w:tc>
          <w:tcPr>
            <w:tcW w:w="2318" w:type="dxa"/>
            <w:vAlign w:val="center"/>
          </w:tcPr>
          <w:p w14:paraId="4B6B4D8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非实质性偏离的范围和幅度</w:t>
            </w:r>
          </w:p>
        </w:tc>
        <w:tc>
          <w:tcPr>
            <w:tcW w:w="5370" w:type="dxa"/>
            <w:vAlign w:val="center"/>
          </w:tcPr>
          <w:p w14:paraId="472E867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kern w:val="2"/>
                <w:sz w:val="28"/>
                <w:szCs w:val="28"/>
                <w:highlight w:val="none"/>
                <w:lang w:val="en-US" w:eastAsia="zh-CN" w:bidi="ar-SA"/>
              </w:rPr>
              <w:t>一</w:t>
            </w:r>
            <w:r>
              <w:rPr>
                <w:rFonts w:hint="eastAsia" w:ascii="方正仿宋_GB2312" w:hAnsi="方正仿宋_GB2312" w:eastAsia="方正仿宋_GB2312" w:cs="方正仿宋_GB2312"/>
                <w:color w:val="auto"/>
                <w:sz w:val="28"/>
                <w:szCs w:val="28"/>
                <w:highlight w:val="none"/>
                <w:lang w:val="en-US" w:eastAsia="zh-CN"/>
              </w:rPr>
              <w:t>般商务和技术条款（参数），负偏离项数之和≥</w:t>
            </w:r>
            <w:r>
              <w:rPr>
                <w:rFonts w:hint="eastAsia" w:ascii="方正仿宋_GB2312" w:hAnsi="方正仿宋_GB2312" w:eastAsia="方正仿宋_GB2312" w:cs="方正仿宋_GB2312"/>
                <w:color w:val="auto"/>
                <w:sz w:val="28"/>
                <w:szCs w:val="28"/>
                <w:highlight w:val="none"/>
                <w:u w:val="single"/>
                <w:lang w:val="en-US" w:eastAsia="zh-CN"/>
              </w:rPr>
              <w:t>/</w:t>
            </w:r>
            <w:r>
              <w:rPr>
                <w:rFonts w:hint="eastAsia" w:ascii="方正仿宋_GB2312" w:hAnsi="方正仿宋_GB2312" w:eastAsia="方正仿宋_GB2312" w:cs="方正仿宋_GB2312"/>
                <w:color w:val="auto"/>
                <w:sz w:val="28"/>
                <w:szCs w:val="28"/>
                <w:highlight w:val="none"/>
                <w:lang w:val="en-US" w:eastAsia="zh-CN"/>
              </w:rPr>
              <w:t>项将导致无效投标。</w:t>
            </w:r>
          </w:p>
        </w:tc>
      </w:tr>
      <w:tr w14:paraId="63309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222" w:type="dxa"/>
            <w:vAlign w:val="center"/>
          </w:tcPr>
          <w:p w14:paraId="14CB093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7</w:t>
            </w:r>
          </w:p>
        </w:tc>
        <w:tc>
          <w:tcPr>
            <w:tcW w:w="2318" w:type="dxa"/>
            <w:vAlign w:val="center"/>
          </w:tcPr>
          <w:p w14:paraId="6434A3C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指定媒体</w:t>
            </w:r>
          </w:p>
        </w:tc>
        <w:tc>
          <w:tcPr>
            <w:tcW w:w="5370" w:type="dxa"/>
            <w:vAlign w:val="center"/>
          </w:tcPr>
          <w:p w14:paraId="20F076F1">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桃江县人民医院官网</w:t>
            </w:r>
          </w:p>
          <w:p w14:paraId="5B3D0B3B">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https://www.tjrmyy.com/</w:t>
            </w:r>
            <w:r>
              <w:rPr>
                <w:rFonts w:hint="eastAsia" w:ascii="方正仿宋_GB2312" w:hAnsi="方正仿宋_GB2312" w:eastAsia="方正仿宋_GB2312" w:cs="方正仿宋_GB2312"/>
                <w:color w:val="auto"/>
                <w:sz w:val="28"/>
                <w:szCs w:val="28"/>
              </w:rPr>
              <w:t>）</w:t>
            </w:r>
          </w:p>
        </w:tc>
      </w:tr>
      <w:tr w14:paraId="77506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52C2E1F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三、</w:t>
            </w:r>
            <w:r>
              <w:rPr>
                <w:rFonts w:hint="eastAsia" w:ascii="方正楷体_GB2312" w:hAnsi="方正楷体_GB2312" w:eastAsia="方正楷体_GB2312" w:cs="方正楷体_GB2312"/>
                <w:b w:val="0"/>
                <w:bCs w:val="0"/>
                <w:color w:val="auto"/>
                <w:sz w:val="32"/>
                <w:szCs w:val="32"/>
                <w:lang w:eastAsia="zh-CN"/>
              </w:rPr>
              <w:t>响应</w:t>
            </w:r>
            <w:r>
              <w:rPr>
                <w:rFonts w:hint="eastAsia" w:ascii="方正楷体_GB2312" w:hAnsi="方正楷体_GB2312" w:eastAsia="方正楷体_GB2312" w:cs="方正楷体_GB2312"/>
                <w:b w:val="0"/>
                <w:bCs w:val="0"/>
                <w:color w:val="auto"/>
                <w:sz w:val="32"/>
                <w:szCs w:val="32"/>
              </w:rPr>
              <w:t>文件</w:t>
            </w:r>
          </w:p>
        </w:tc>
      </w:tr>
      <w:tr w14:paraId="17BAC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14:paraId="7BF0B5B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8</w:t>
            </w:r>
          </w:p>
        </w:tc>
        <w:tc>
          <w:tcPr>
            <w:tcW w:w="2318" w:type="dxa"/>
            <w:vAlign w:val="center"/>
          </w:tcPr>
          <w:p w14:paraId="0645942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采购预算</w:t>
            </w:r>
          </w:p>
        </w:tc>
        <w:tc>
          <w:tcPr>
            <w:tcW w:w="5370" w:type="dxa"/>
            <w:vAlign w:val="center"/>
          </w:tcPr>
          <w:p w14:paraId="024B1A3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采购预算金额：46.8万元（采购预算金额包含但不限于技术服务、维护保养、故障维修、应急救援、保险购买、年检费、税费等本项目相关的所有费用，采购人不另行支付其他任何费用）</w:t>
            </w:r>
          </w:p>
        </w:tc>
      </w:tr>
      <w:tr w14:paraId="20E67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B7D20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9</w:t>
            </w:r>
          </w:p>
        </w:tc>
        <w:tc>
          <w:tcPr>
            <w:tcW w:w="2318" w:type="dxa"/>
            <w:vAlign w:val="center"/>
          </w:tcPr>
          <w:p w14:paraId="251E146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投标报价要求</w:t>
            </w:r>
          </w:p>
        </w:tc>
        <w:tc>
          <w:tcPr>
            <w:tcW w:w="5370" w:type="dxa"/>
            <w:vAlign w:val="center"/>
          </w:tcPr>
          <w:p w14:paraId="7CBB98F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bookmarkStart w:id="5" w:name="EBa308d5cf6e774cd1846fa521ebf5677e"/>
            <w:r>
              <w:rPr>
                <w:rFonts w:hint="eastAsia" w:ascii="方正仿宋_GB2312" w:hAnsi="方正仿宋_GB2312" w:eastAsia="方正仿宋_GB2312" w:cs="方正仿宋_GB2312"/>
                <w:color w:val="auto"/>
                <w:sz w:val="28"/>
                <w:szCs w:val="28"/>
                <w:highlight w:val="none"/>
                <w:lang w:val="en-US" w:eastAsia="zh-CN"/>
              </w:rPr>
              <w:t>1、投标报价超过预算金额视为无效投标</w:t>
            </w:r>
            <w:bookmarkEnd w:id="5"/>
            <w:r>
              <w:rPr>
                <w:rFonts w:hint="eastAsia" w:ascii="方正仿宋_GB2312" w:hAnsi="方正仿宋_GB2312" w:eastAsia="方正仿宋_GB2312" w:cs="方正仿宋_GB2312"/>
                <w:color w:val="auto"/>
                <w:sz w:val="28"/>
                <w:szCs w:val="28"/>
                <w:highlight w:val="none"/>
                <w:lang w:val="en-US" w:eastAsia="zh-CN"/>
              </w:rPr>
              <w:t>；2、评审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45E35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257BAC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24510E06">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投标文件报价出现前后不一致的修正</w:t>
            </w:r>
          </w:p>
        </w:tc>
        <w:tc>
          <w:tcPr>
            <w:tcW w:w="5370" w:type="dxa"/>
            <w:vAlign w:val="center"/>
          </w:tcPr>
          <w:p w14:paraId="2C1DF26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1、投标文件中报价一览表内容与投标文件中相应内容不一致的，以报价一览表为准。2、大写金额和小写金额不一致的，以大写金额为准。</w:t>
            </w:r>
          </w:p>
          <w:p w14:paraId="193DFB5F">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3、单价金额小数点或者百分比有明显错位的，以报价一览表的总价为准，并修改单价。</w:t>
            </w:r>
          </w:p>
          <w:p w14:paraId="2B41767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4、总价金额与按单价汇总金额不一致的，以单价金额计算结果为准。</w:t>
            </w:r>
          </w:p>
          <w:p w14:paraId="6AF82A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5、投标文件报价同时出现两种以上不一致的，按照前款规定的顺序修正。修正后的报价由投标人代表签字或者加盖单位章确认后产生约束力，投标人不确认的，其投标无效。</w:t>
            </w:r>
          </w:p>
        </w:tc>
      </w:tr>
      <w:tr w14:paraId="322B2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14:paraId="0A3FF80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6130658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投标人应提供资格审查资料</w:t>
            </w:r>
          </w:p>
        </w:tc>
        <w:tc>
          <w:tcPr>
            <w:tcW w:w="5370" w:type="dxa"/>
            <w:vAlign w:val="center"/>
          </w:tcPr>
          <w:p w14:paraId="540E130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1、1、《投标人资格声明承诺函》（附件3）。</w:t>
            </w:r>
          </w:p>
          <w:p w14:paraId="11F76A6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2、2、营业执照副本(或者法人登记证书)以及组织机构代码证副本复印件。</w:t>
            </w:r>
          </w:p>
          <w:p w14:paraId="771A678C">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3、3、法人提交法定代表人资格证明书复印件及身份证复印件；授权委托人提交法定代表人授权委托书原件及双方身份证复印件；自然人提交身份证复印件。</w:t>
            </w:r>
          </w:p>
          <w:p w14:paraId="3D49494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4、4、政府采购活动前3年内在经营活动中没有重大违法记录的书面声明。</w:t>
            </w:r>
          </w:p>
          <w:p w14:paraId="69A0BF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5、5、“信用中国”查询记录截图。</w:t>
            </w:r>
          </w:p>
          <w:p w14:paraId="3F619FB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kern w:val="0"/>
                <w:sz w:val="28"/>
                <w:szCs w:val="28"/>
                <w:highlight w:val="none"/>
                <w:lang w:val="en-US" w:eastAsia="zh-CN"/>
              </w:rPr>
              <w:t>6、特定资格条件证明材料。</w:t>
            </w:r>
          </w:p>
        </w:tc>
      </w:tr>
      <w:tr w14:paraId="03C34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14:paraId="25460A5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11</w:t>
            </w:r>
          </w:p>
        </w:tc>
        <w:tc>
          <w:tcPr>
            <w:tcW w:w="2318" w:type="dxa"/>
            <w:vAlign w:val="center"/>
          </w:tcPr>
          <w:p w14:paraId="163D331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投标有效期</w:t>
            </w:r>
          </w:p>
        </w:tc>
        <w:tc>
          <w:tcPr>
            <w:tcW w:w="5370" w:type="dxa"/>
            <w:vAlign w:val="center"/>
          </w:tcPr>
          <w:p w14:paraId="0E4AD333">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90日（日历日）</w:t>
            </w:r>
          </w:p>
        </w:tc>
      </w:tr>
      <w:tr w14:paraId="6173C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14:paraId="75EBC46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12</w:t>
            </w:r>
          </w:p>
        </w:tc>
        <w:tc>
          <w:tcPr>
            <w:tcW w:w="2318" w:type="dxa"/>
            <w:vAlign w:val="center"/>
          </w:tcPr>
          <w:p w14:paraId="237D717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分包</w:t>
            </w:r>
          </w:p>
        </w:tc>
        <w:tc>
          <w:tcPr>
            <w:tcW w:w="5370" w:type="dxa"/>
            <w:vAlign w:val="center"/>
          </w:tcPr>
          <w:p w14:paraId="29858514">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□允许向外分包转包。</w:t>
            </w:r>
          </w:p>
          <w:p w14:paraId="31AEDB1F">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■不允许向外分包转包。</w:t>
            </w:r>
          </w:p>
        </w:tc>
      </w:tr>
      <w:tr w14:paraId="53550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14:paraId="61C318D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13</w:t>
            </w:r>
          </w:p>
        </w:tc>
        <w:tc>
          <w:tcPr>
            <w:tcW w:w="2318" w:type="dxa"/>
            <w:vAlign w:val="center"/>
          </w:tcPr>
          <w:p w14:paraId="668E02C3">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响应文件份数</w:t>
            </w:r>
          </w:p>
        </w:tc>
        <w:tc>
          <w:tcPr>
            <w:tcW w:w="5370" w:type="dxa"/>
            <w:vAlign w:val="center"/>
          </w:tcPr>
          <w:p w14:paraId="2694DE0D">
            <w:pPr>
              <w:pStyle w:val="18"/>
              <w:keepNext w:val="0"/>
              <w:keepLines w:val="0"/>
              <w:pageBreakBefore w:val="0"/>
              <w:widowControl w:val="0"/>
              <w:kinsoku/>
              <w:wordWrap/>
              <w:overflowPunct/>
              <w:topLinePunct w:val="0"/>
              <w:autoSpaceDE/>
              <w:autoSpaceDN/>
              <w:bidi w:val="0"/>
              <w:spacing w:line="594"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正本</w:t>
            </w:r>
            <w:r>
              <w:rPr>
                <w:rFonts w:hint="eastAsia" w:ascii="方正仿宋_GB2312" w:hAnsi="方正仿宋_GB2312" w:eastAsia="方正仿宋_GB2312" w:cs="方正仿宋_GB2312"/>
                <w:b w:val="0"/>
                <w:bCs w:val="0"/>
                <w:color w:val="auto"/>
                <w:sz w:val="28"/>
                <w:szCs w:val="28"/>
                <w:highlight w:val="none"/>
                <w:u w:val="single"/>
                <w:lang w:val="en-US" w:eastAsia="zh-CN"/>
              </w:rPr>
              <w:t>1</w:t>
            </w:r>
            <w:r>
              <w:rPr>
                <w:rFonts w:hint="eastAsia" w:ascii="方正仿宋_GB2312" w:hAnsi="方正仿宋_GB2312" w:eastAsia="方正仿宋_GB2312" w:cs="方正仿宋_GB2312"/>
                <w:b w:val="0"/>
                <w:bCs w:val="0"/>
                <w:color w:val="auto"/>
                <w:sz w:val="28"/>
                <w:szCs w:val="28"/>
                <w:highlight w:val="none"/>
                <w:lang w:val="en-US" w:eastAsia="zh-CN"/>
              </w:rPr>
              <w:t>份，副本</w:t>
            </w:r>
            <w:r>
              <w:rPr>
                <w:rFonts w:hint="eastAsia" w:ascii="方正仿宋_GB2312" w:hAnsi="方正仿宋_GB2312" w:eastAsia="方正仿宋_GB2312" w:cs="方正仿宋_GB2312"/>
                <w:b w:val="0"/>
                <w:bCs w:val="0"/>
                <w:color w:val="auto"/>
                <w:sz w:val="28"/>
                <w:szCs w:val="28"/>
                <w:highlight w:val="none"/>
                <w:u w:val="single"/>
                <w:lang w:val="en-US" w:eastAsia="zh-CN"/>
              </w:rPr>
              <w:t>2</w:t>
            </w:r>
            <w:r>
              <w:rPr>
                <w:rFonts w:hint="eastAsia" w:ascii="方正仿宋_GB2312" w:hAnsi="方正仿宋_GB2312" w:eastAsia="方正仿宋_GB2312" w:cs="方正仿宋_GB2312"/>
                <w:b w:val="0"/>
                <w:bCs w:val="0"/>
                <w:color w:val="auto"/>
                <w:sz w:val="28"/>
                <w:szCs w:val="28"/>
                <w:highlight w:val="none"/>
                <w:lang w:val="en-US" w:eastAsia="zh-CN"/>
              </w:rPr>
              <w:t>份。</w:t>
            </w:r>
          </w:p>
        </w:tc>
      </w:tr>
      <w:tr w14:paraId="7C0C0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14:paraId="2080C722">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四</w:t>
            </w:r>
            <w:r>
              <w:rPr>
                <w:rFonts w:hint="eastAsia" w:ascii="方正楷体_GB2312" w:hAnsi="方正楷体_GB2312" w:eastAsia="方正楷体_GB2312" w:cs="方正楷体_GB2312"/>
                <w:b w:val="0"/>
                <w:bCs w:val="0"/>
                <w:color w:val="auto"/>
                <w:sz w:val="32"/>
                <w:szCs w:val="32"/>
              </w:rPr>
              <w:t>、开标、资格审查和评标</w:t>
            </w:r>
          </w:p>
        </w:tc>
      </w:tr>
      <w:tr w14:paraId="4C4E0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14:paraId="7B317A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14</w:t>
            </w:r>
          </w:p>
        </w:tc>
        <w:tc>
          <w:tcPr>
            <w:tcW w:w="2318" w:type="dxa"/>
            <w:vAlign w:val="center"/>
          </w:tcPr>
          <w:p w14:paraId="55FB574C">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开标会场地点</w:t>
            </w:r>
          </w:p>
        </w:tc>
        <w:tc>
          <w:tcPr>
            <w:tcW w:w="5370" w:type="dxa"/>
            <w:vAlign w:val="center"/>
          </w:tcPr>
          <w:p w14:paraId="08C65BB8">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lang w:eastAsia="zh-CN"/>
              </w:rPr>
              <w:t>桃江县人民医院</w:t>
            </w:r>
            <w:r>
              <w:rPr>
                <w:rFonts w:hint="eastAsia" w:ascii="方正仿宋_GB2312" w:hAnsi="方正仿宋_GB2312" w:eastAsia="方正仿宋_GB2312" w:cs="方正仿宋_GB2312"/>
                <w:color w:val="auto"/>
                <w:sz w:val="28"/>
                <w:szCs w:val="36"/>
                <w:lang w:val="en-US" w:eastAsia="zh-CN"/>
              </w:rPr>
              <w:t>19楼小会议室</w:t>
            </w:r>
          </w:p>
        </w:tc>
      </w:tr>
      <w:tr w14:paraId="5BA2A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222" w:type="dxa"/>
            <w:vAlign w:val="center"/>
          </w:tcPr>
          <w:p w14:paraId="592448C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15</w:t>
            </w:r>
          </w:p>
        </w:tc>
        <w:tc>
          <w:tcPr>
            <w:tcW w:w="2318" w:type="dxa"/>
            <w:vAlign w:val="center"/>
          </w:tcPr>
          <w:p w14:paraId="4F092A1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需要宣布的其他内容</w:t>
            </w:r>
          </w:p>
        </w:tc>
        <w:tc>
          <w:tcPr>
            <w:tcW w:w="5370" w:type="dxa"/>
            <w:vAlign w:val="center"/>
          </w:tcPr>
          <w:p w14:paraId="2440F5D9">
            <w:pPr>
              <w:pageBreakBefore w:val="0"/>
              <w:numPr>
                <w:ilvl w:val="0"/>
                <w:numId w:val="0"/>
              </w:numPr>
              <w:kinsoku/>
              <w:overflowPunct/>
              <w:topLinePunct w:val="0"/>
              <w:bidi w:val="0"/>
              <w:spacing w:line="594" w:lineRule="exact"/>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1、报价一览表、分项报价表除响应文件内容制作，还需另外单独密封递交1份。</w:t>
            </w:r>
          </w:p>
          <w:p w14:paraId="54E8D121">
            <w:pPr>
              <w:pStyle w:val="18"/>
              <w:numPr>
                <w:ilvl w:val="0"/>
                <w:numId w:val="0"/>
              </w:numPr>
              <w:rPr>
                <w:rFonts w:hint="eastAsia" w:eastAsiaTheme="minor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2、除规定要求的签字（签章）、盖章外，需逐页加盖投标供应商公章。</w:t>
            </w:r>
          </w:p>
        </w:tc>
      </w:tr>
      <w:tr w14:paraId="435C0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14:paraId="4AA22B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五</w:t>
            </w:r>
            <w:r>
              <w:rPr>
                <w:rFonts w:hint="eastAsia" w:ascii="方正楷体_GB2312" w:hAnsi="方正楷体_GB2312" w:eastAsia="方正楷体_GB2312" w:cs="方正楷体_GB2312"/>
                <w:b w:val="0"/>
                <w:bCs w:val="0"/>
                <w:color w:val="auto"/>
                <w:sz w:val="32"/>
                <w:szCs w:val="32"/>
              </w:rPr>
              <w:t>、中标信息公布</w:t>
            </w:r>
          </w:p>
        </w:tc>
      </w:tr>
      <w:tr w14:paraId="2FC6B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14:paraId="1D2513A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16</w:t>
            </w:r>
          </w:p>
        </w:tc>
        <w:tc>
          <w:tcPr>
            <w:tcW w:w="2318" w:type="dxa"/>
            <w:vAlign w:val="center"/>
          </w:tcPr>
          <w:p w14:paraId="11D55F6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中标候选人并列的确定中标人的方式</w:t>
            </w:r>
          </w:p>
        </w:tc>
        <w:tc>
          <w:tcPr>
            <w:tcW w:w="5370" w:type="dxa"/>
            <w:vAlign w:val="center"/>
          </w:tcPr>
          <w:p w14:paraId="15DBA427">
            <w:pPr>
              <w:pStyle w:val="27"/>
              <w:pageBreakBefore w:val="0"/>
              <w:numPr>
                <w:ilvl w:val="0"/>
                <w:numId w:val="0"/>
              </w:numPr>
              <w:kinsoku/>
              <w:overflowPunct/>
              <w:topLinePunct w:val="0"/>
              <w:bidi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评标结果按评审后得分由高到低顺序排列。</w:t>
            </w:r>
          </w:p>
          <w:p w14:paraId="07F0ACFA">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总得分相同的，按投标报价由低到高顺序排列。</w:t>
            </w:r>
          </w:p>
          <w:p w14:paraId="469098A8">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3、总得分且投标报价相同的，按技术指标优劣顺序排列。</w:t>
            </w:r>
          </w:p>
          <w:p w14:paraId="2D358643">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4、所有得分均相同的，由采购人采取随机抽取的方式确定。</w:t>
            </w:r>
          </w:p>
        </w:tc>
      </w:tr>
      <w:tr w14:paraId="0E57F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1222" w:type="dxa"/>
            <w:vAlign w:val="center"/>
          </w:tcPr>
          <w:p w14:paraId="7546A1D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17</w:t>
            </w:r>
          </w:p>
        </w:tc>
        <w:tc>
          <w:tcPr>
            <w:tcW w:w="2318" w:type="dxa"/>
            <w:vAlign w:val="center"/>
          </w:tcPr>
          <w:p w14:paraId="049801F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接收质疑函的联系部门、联系电话和通讯地址</w:t>
            </w:r>
          </w:p>
        </w:tc>
        <w:tc>
          <w:tcPr>
            <w:tcW w:w="5370" w:type="dxa"/>
            <w:vAlign w:val="center"/>
          </w:tcPr>
          <w:p w14:paraId="2936ACB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名称：</w:t>
            </w:r>
            <w:r>
              <w:rPr>
                <w:rFonts w:hint="eastAsia" w:ascii="方正仿宋_GB2312" w:hAnsi="方正仿宋_GB2312" w:eastAsia="方正仿宋_GB2312" w:cs="方正仿宋_GB2312"/>
                <w:color w:val="auto"/>
                <w:sz w:val="28"/>
                <w:szCs w:val="28"/>
                <w:highlight w:val="none"/>
                <w:lang w:eastAsia="zh-CN"/>
              </w:rPr>
              <w:t>桃江县人民医院</w:t>
            </w:r>
          </w:p>
          <w:p w14:paraId="02F075BF">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地</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址：</w:t>
            </w:r>
            <w:r>
              <w:rPr>
                <w:rFonts w:hint="eastAsia" w:ascii="方正仿宋_GB2312" w:hAnsi="方正仿宋_GB2312" w:eastAsia="方正仿宋_GB2312" w:cs="方正仿宋_GB2312"/>
                <w:color w:val="auto"/>
                <w:sz w:val="28"/>
                <w:szCs w:val="28"/>
                <w:highlight w:val="none"/>
                <w:lang w:eastAsia="zh-CN"/>
              </w:rPr>
              <w:t>桃江县桃花江镇桃花江大道西958号</w:t>
            </w:r>
          </w:p>
          <w:p w14:paraId="211E65F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联系人：陈先生</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电话：15073738000</w:t>
            </w:r>
          </w:p>
          <w:p w14:paraId="199579F7">
            <w:pPr>
              <w:pageBreakBefore w:val="0"/>
              <w:kinsoku/>
              <w:overflowPunct/>
              <w:topLinePunct w:val="0"/>
              <w:bidi w:val="0"/>
              <w:adjustRightInd w:val="0"/>
              <w:snapToGrid w:val="0"/>
              <w:spacing w:line="594" w:lineRule="exact"/>
              <w:rPr>
                <w:rFonts w:hint="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邮  箱：tjxrmyycgb@163.com</w:t>
            </w:r>
          </w:p>
        </w:tc>
      </w:tr>
      <w:tr w14:paraId="3D38A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14:paraId="43164E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六、合同签订</w:t>
            </w:r>
          </w:p>
        </w:tc>
      </w:tr>
      <w:tr w14:paraId="7C4E1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14:paraId="12F8724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18</w:t>
            </w:r>
          </w:p>
        </w:tc>
        <w:tc>
          <w:tcPr>
            <w:tcW w:w="2318" w:type="dxa"/>
            <w:vAlign w:val="center"/>
          </w:tcPr>
          <w:p w14:paraId="03E04C4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履约保证金</w:t>
            </w:r>
          </w:p>
        </w:tc>
        <w:tc>
          <w:tcPr>
            <w:tcW w:w="5370" w:type="dxa"/>
            <w:vAlign w:val="center"/>
          </w:tcPr>
          <w:p w14:paraId="0D1FDF1B">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不要求提供</w:t>
            </w:r>
          </w:p>
          <w:p w14:paraId="0B6CBE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要求提供：</w:t>
            </w:r>
          </w:p>
          <w:p w14:paraId="1D456B2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时间：签订采购合同前向采购人交纳</w:t>
            </w:r>
          </w:p>
          <w:p w14:paraId="7BA47A1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金额：</w:t>
            </w:r>
            <w:r>
              <w:rPr>
                <w:rFonts w:hint="eastAsia" w:ascii="方正仿宋_GB2312" w:hAnsi="方正仿宋_GB2312" w:eastAsia="方正仿宋_GB2312" w:cs="方正仿宋_GB2312"/>
                <w:color w:val="auto"/>
                <w:sz w:val="28"/>
                <w:szCs w:val="28"/>
                <w:highlight w:val="none"/>
                <w:lang w:eastAsia="zh-CN"/>
              </w:rPr>
              <w:t>合同金额的</w:t>
            </w:r>
            <w:r>
              <w:rPr>
                <w:rFonts w:hint="eastAsia" w:ascii="方正仿宋_GB2312" w:hAnsi="方正仿宋_GB2312" w:eastAsia="方正仿宋_GB2312" w:cs="方正仿宋_GB2312"/>
                <w:color w:val="auto"/>
                <w:sz w:val="28"/>
                <w:szCs w:val="28"/>
                <w:highlight w:val="none"/>
                <w:u w:val="single"/>
                <w:lang w:val="en-US" w:eastAsia="zh-CN"/>
              </w:rPr>
              <w:t>10%</w:t>
            </w:r>
          </w:p>
          <w:p w14:paraId="068291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缴纳方式：保函或银行转账</w:t>
            </w:r>
          </w:p>
          <w:p w14:paraId="66F9EDB6">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退还：</w:t>
            </w:r>
            <w:r>
              <w:rPr>
                <w:rFonts w:hint="eastAsia" w:ascii="方正仿宋_GB2312" w:hAnsi="方正仿宋_GB2312" w:eastAsia="方正仿宋_GB2312" w:cs="方正仿宋_GB2312"/>
                <w:color w:val="auto"/>
                <w:sz w:val="28"/>
                <w:szCs w:val="28"/>
                <w:highlight w:val="none"/>
                <w:lang w:val="en-US" w:eastAsia="zh-CN"/>
              </w:rPr>
              <w:t>合同签订的履约服务期到期后退还。</w:t>
            </w:r>
          </w:p>
        </w:tc>
      </w:tr>
    </w:tbl>
    <w:p w14:paraId="33117055">
      <w:pPr>
        <w:pageBreakBefore w:val="0"/>
        <w:kinsoku/>
        <w:overflowPunct/>
        <w:topLinePunct w:val="0"/>
        <w:bidi w:val="0"/>
        <w:adjustRightInd w:val="0"/>
        <w:snapToGrid w:val="0"/>
        <w:spacing w:line="594" w:lineRule="exact"/>
        <w:rPr>
          <w:rFonts w:ascii="宋体" w:hAnsi="宋体"/>
          <w:b/>
          <w:color w:val="auto"/>
          <w:sz w:val="28"/>
          <w:szCs w:val="28"/>
          <w:highlight w:val="none"/>
        </w:rPr>
      </w:pPr>
    </w:p>
    <w:p w14:paraId="7E3DC563">
      <w:pPr>
        <w:pageBreakBefore w:val="0"/>
        <w:kinsoku/>
        <w:overflowPunct/>
        <w:topLinePunct w:val="0"/>
        <w:bidi w:val="0"/>
        <w:spacing w:line="594" w:lineRule="exact"/>
        <w:jc w:val="center"/>
        <w:outlineLvl w:val="1"/>
        <w:rPr>
          <w:rFonts w:hint="eastAsia" w:ascii="宋体" w:hAnsi="宋体"/>
          <w:b/>
          <w:color w:val="auto"/>
          <w:sz w:val="28"/>
          <w:szCs w:val="28"/>
        </w:rPr>
      </w:pPr>
    </w:p>
    <w:p w14:paraId="11879AF3">
      <w:pPr>
        <w:pStyle w:val="7"/>
        <w:rPr>
          <w:rFonts w:hint="eastAsia" w:ascii="宋体" w:hAnsi="宋体"/>
          <w:b/>
          <w:color w:val="auto"/>
          <w:sz w:val="28"/>
          <w:szCs w:val="28"/>
        </w:rPr>
      </w:pPr>
    </w:p>
    <w:p w14:paraId="5B3EBEB7">
      <w:pPr>
        <w:rPr>
          <w:rFonts w:hint="eastAsia" w:ascii="宋体" w:hAnsi="宋体"/>
          <w:b/>
          <w:color w:val="auto"/>
          <w:sz w:val="28"/>
          <w:szCs w:val="28"/>
        </w:rPr>
      </w:pPr>
    </w:p>
    <w:p w14:paraId="4FE510C9">
      <w:pPr>
        <w:pStyle w:val="7"/>
        <w:rPr>
          <w:rFonts w:hint="eastAsia" w:ascii="宋体" w:hAnsi="宋体"/>
          <w:b/>
          <w:color w:val="auto"/>
          <w:sz w:val="28"/>
          <w:szCs w:val="28"/>
        </w:rPr>
      </w:pPr>
    </w:p>
    <w:p w14:paraId="0DB9211D">
      <w:pPr>
        <w:rPr>
          <w:rFonts w:hint="eastAsia" w:ascii="宋体" w:hAnsi="宋体"/>
          <w:b/>
          <w:color w:val="auto"/>
          <w:sz w:val="28"/>
          <w:szCs w:val="28"/>
        </w:rPr>
      </w:pPr>
    </w:p>
    <w:p w14:paraId="45173214">
      <w:pPr>
        <w:pStyle w:val="7"/>
        <w:rPr>
          <w:rFonts w:hint="eastAsia" w:ascii="宋体" w:hAnsi="宋体"/>
          <w:b/>
          <w:color w:val="auto"/>
          <w:sz w:val="28"/>
          <w:szCs w:val="28"/>
        </w:rPr>
      </w:pPr>
    </w:p>
    <w:p w14:paraId="702AF45A">
      <w:pPr>
        <w:rPr>
          <w:rFonts w:hint="eastAsia" w:ascii="宋体" w:hAnsi="宋体"/>
          <w:b/>
          <w:color w:val="auto"/>
          <w:sz w:val="28"/>
          <w:szCs w:val="28"/>
        </w:rPr>
        <w:sectPr>
          <w:pgSz w:w="11906" w:h="16838"/>
          <w:pgMar w:top="1474" w:right="1474" w:bottom="1474" w:left="1474" w:header="851" w:footer="992" w:gutter="0"/>
          <w:pgNumType w:fmt="decimal" w:start="1"/>
          <w:cols w:space="720" w:num="1"/>
          <w:docGrid w:type="lines" w:linePitch="312" w:charSpace="0"/>
        </w:sectPr>
      </w:pPr>
    </w:p>
    <w:p w14:paraId="0CE53DA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40"/>
          <w:szCs w:val="40"/>
        </w:rPr>
      </w:pPr>
      <w:r>
        <w:rPr>
          <w:rFonts w:hint="eastAsia" w:ascii="黑体" w:hAnsi="黑体" w:eastAsia="黑体" w:cs="黑体"/>
          <w:b w:val="0"/>
          <w:bCs/>
          <w:color w:val="auto"/>
          <w:kern w:val="2"/>
          <w:sz w:val="44"/>
          <w:szCs w:val="44"/>
          <w:lang w:val="en-US" w:eastAsia="zh-CN" w:bidi="ar-SA"/>
        </w:rPr>
        <w:t>第二章 采购需求</w:t>
      </w:r>
    </w:p>
    <w:p w14:paraId="3588EB5B">
      <w:pPr>
        <w:pStyle w:val="5"/>
        <w:keepNext w:val="0"/>
        <w:keepLines w:val="0"/>
        <w:pageBreakBefore w:val="0"/>
        <w:numPr>
          <w:ilvl w:val="0"/>
          <w:numId w:val="0"/>
        </w:numPr>
        <w:kinsoku/>
        <w:wordWrap/>
        <w:overflowPunct/>
        <w:topLinePunct w:val="0"/>
        <w:autoSpaceDE/>
        <w:autoSpaceDN/>
        <w:bidi w:val="0"/>
        <w:adjustRightInd/>
        <w:spacing w:line="594" w:lineRule="exact"/>
        <w:ind w:firstLine="640" w:firstLineChars="200"/>
        <w:rPr>
          <w:rFonts w:hint="eastAsia" w:ascii="黑体" w:hAnsi="黑体" w:eastAsia="黑体" w:cs="黑体"/>
          <w:b w:val="0"/>
          <w:bCs/>
          <w:color w:val="auto"/>
          <w:kern w:val="2"/>
          <w:sz w:val="32"/>
          <w:szCs w:val="32"/>
          <w:lang w:val="en-US" w:eastAsia="zh-CN" w:bidi="ar-SA"/>
        </w:rPr>
      </w:pPr>
      <w:bookmarkStart w:id="6" w:name="_Toc396919493"/>
      <w:bookmarkEnd w:id="6"/>
      <w:r>
        <w:rPr>
          <w:rFonts w:hint="eastAsia" w:ascii="黑体" w:hAnsi="黑体" w:eastAsia="黑体" w:cs="黑体"/>
          <w:b w:val="0"/>
          <w:bCs/>
          <w:color w:val="auto"/>
          <w:kern w:val="2"/>
          <w:sz w:val="32"/>
          <w:szCs w:val="32"/>
          <w:lang w:val="en-US" w:eastAsia="zh-CN" w:bidi="ar-SA"/>
        </w:rPr>
        <w:t>一、项目名称及采购预算</w:t>
      </w:r>
    </w:p>
    <w:p w14:paraId="41278F3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1、项目名称：</w:t>
      </w:r>
      <w:r>
        <w:rPr>
          <w:rFonts w:hint="eastAsia" w:ascii="方正仿宋_GB2312" w:hAnsi="方正仿宋_GB2312" w:eastAsia="方正仿宋_GB2312" w:cs="方正仿宋_GB2312"/>
          <w:color w:val="auto"/>
          <w:sz w:val="32"/>
          <w:szCs w:val="32"/>
          <w:u w:val="none"/>
          <w:lang w:val="en-US" w:eastAsia="zh-CN"/>
        </w:rPr>
        <w:t>电梯年度维保服务采购项目</w:t>
      </w:r>
    </w:p>
    <w:p w14:paraId="2A5C67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hAnsi="Times New Roman" w:cs="Times New Roman"/>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2、项目预算金额：</w:t>
      </w:r>
      <w:r>
        <w:rPr>
          <w:rFonts w:hint="eastAsia" w:ascii="方正仿宋_GB2312" w:hAnsi="方正仿宋_GB2312" w:eastAsia="方正仿宋_GB2312" w:cs="方正仿宋_GB2312"/>
          <w:color w:val="auto"/>
          <w:sz w:val="32"/>
          <w:szCs w:val="32"/>
          <w:u w:val="single"/>
          <w:lang w:val="en-US" w:eastAsia="zh-CN"/>
        </w:rPr>
        <w:t>46.8万元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技术服务、维护保养、故障维修、应急救援、高空作业、电梯保险购买、员工保险、年检费、税费、相关部门验收、检验、检测等本项目相关的所有费用，维保服务履约期间内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1076577D">
      <w:pPr>
        <w:pStyle w:val="22"/>
        <w:pageBreakBefore w:val="0"/>
        <w:kinsoku/>
        <w:overflowPunct/>
        <w:topLinePunct w:val="0"/>
        <w:bidi w:val="0"/>
        <w:spacing w:line="594" w:lineRule="exact"/>
        <w:ind w:firstLine="640" w:firstLineChars="20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二、基本情况</w:t>
      </w:r>
    </w:p>
    <w:tbl>
      <w:tblPr>
        <w:tblStyle w:val="19"/>
        <w:tblW w:w="892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5"/>
        <w:gridCol w:w="990"/>
        <w:gridCol w:w="1035"/>
        <w:gridCol w:w="660"/>
        <w:gridCol w:w="1170"/>
        <w:gridCol w:w="1110"/>
        <w:gridCol w:w="2355"/>
      </w:tblGrid>
      <w:tr w14:paraId="25AE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173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990" w:type="dxa"/>
            <w:tcBorders>
              <w:top w:val="single" w:color="000000" w:sz="4" w:space="0"/>
              <w:left w:val="single" w:color="000000" w:sz="4" w:space="0"/>
              <w:bottom w:val="single" w:color="000000" w:sz="4" w:space="0"/>
              <w:right w:val="single" w:color="auto" w:sz="4" w:space="0"/>
            </w:tcBorders>
            <w:shd w:val="clear" w:color="auto" w:fill="auto"/>
            <w:vAlign w:val="center"/>
          </w:tcPr>
          <w:p w14:paraId="64318D1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单价</w:t>
            </w:r>
          </w:p>
          <w:p w14:paraId="1B8051B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035" w:type="dxa"/>
            <w:tcBorders>
              <w:top w:val="single" w:color="000000" w:sz="4" w:space="0"/>
              <w:left w:val="single" w:color="auto" w:sz="4" w:space="0"/>
              <w:bottom w:val="single" w:color="000000" w:sz="4" w:space="0"/>
              <w:right w:val="single" w:color="000000" w:sz="4" w:space="0"/>
            </w:tcBorders>
            <w:shd w:val="clear" w:color="auto" w:fill="auto"/>
            <w:vAlign w:val="center"/>
          </w:tcPr>
          <w:p w14:paraId="127113C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E3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FD9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14:paraId="477752B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E4D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14:paraId="50AEDE5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DD5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64F9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12F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电梯年度维保服务采购</w:t>
            </w:r>
          </w:p>
        </w:tc>
        <w:tc>
          <w:tcPr>
            <w:tcW w:w="990"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7A2B44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15.6</w:t>
            </w:r>
          </w:p>
        </w:tc>
        <w:tc>
          <w:tcPr>
            <w:tcW w:w="1035"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0ABAA1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万元/年</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8A7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C5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46.8</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06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46.8</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D15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eastAsia"/>
                <w:lang w:val="en-US" w:eastAsia="zh-CN"/>
              </w:rPr>
              <w:t>电梯共37台（含肿瘤医院教学区一台），本院区36台“三菱”电梯，其中高层16台、扶梯8台、低层12台；肿瘤医院教学区“通力”电梯1台。</w:t>
            </w:r>
          </w:p>
        </w:tc>
      </w:tr>
    </w:tbl>
    <w:p w14:paraId="6D34AE72">
      <w:pPr>
        <w:keepNext w:val="0"/>
        <w:keepLines w:val="0"/>
        <w:pageBreakBefore w:val="0"/>
        <w:widowControl w:val="0"/>
        <w:kinsoku/>
        <w:wordWrap/>
        <w:overflowPunct/>
        <w:topLinePunct w:val="0"/>
        <w:autoSpaceDE/>
        <w:autoSpaceDN/>
        <w:bidi w:val="0"/>
        <w:adjustRightInd/>
        <w:snapToGrid/>
        <w:spacing w:before="157" w:beforeLines="50" w:line="574" w:lineRule="exact"/>
        <w:ind w:firstLine="640" w:firstLineChars="200"/>
        <w:jc w:val="both"/>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w:t>
      </w:r>
      <w:r>
        <w:rPr>
          <w:rFonts w:hint="eastAsia" w:ascii="Times New Roman" w:hAnsi="Times New Roman" w:eastAsia="仿宋_GB2312" w:cs="Times New Roman"/>
          <w:b/>
          <w:bCs/>
          <w:color w:val="auto"/>
          <w:kern w:val="0"/>
          <w:sz w:val="32"/>
          <w:szCs w:val="32"/>
          <w:lang w:val="en-US" w:eastAsia="zh-CN"/>
        </w:rPr>
        <w:t>技术服务要求</w:t>
      </w:r>
    </w:p>
    <w:tbl>
      <w:tblPr>
        <w:tblStyle w:val="20"/>
        <w:tblW w:w="892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235"/>
      </w:tblGrid>
      <w:tr w14:paraId="631B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AF1C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i w:val="0"/>
                <w:iCs w:val="0"/>
                <w:color w:val="auto"/>
                <w:kern w:val="2"/>
                <w:sz w:val="24"/>
                <w:szCs w:val="24"/>
                <w:u w:val="none"/>
                <w:lang w:val="en-US" w:eastAsia="zh-CN" w:bidi="ar-SA"/>
              </w:rPr>
            </w:pPr>
            <w:bookmarkStart w:id="7" w:name="_Toc21036"/>
            <w:r>
              <w:rPr>
                <w:rFonts w:hint="eastAsia" w:ascii="宋体" w:hAnsi="宋体" w:eastAsia="宋体" w:cs="宋体"/>
                <w:b/>
                <w:bCs/>
                <w:i w:val="0"/>
                <w:iCs w:val="0"/>
                <w:color w:val="auto"/>
                <w:kern w:val="2"/>
                <w:sz w:val="24"/>
                <w:szCs w:val="24"/>
                <w:u w:val="none"/>
                <w:lang w:val="en-US" w:eastAsia="zh-CN" w:bidi="ar-SA"/>
              </w:rPr>
              <w:t>序号</w:t>
            </w:r>
          </w:p>
        </w:tc>
        <w:tc>
          <w:tcPr>
            <w:tcW w:w="8235" w:type="dxa"/>
            <w:vAlign w:val="center"/>
          </w:tcPr>
          <w:p w14:paraId="65108B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2"/>
                <w:sz w:val="24"/>
                <w:szCs w:val="24"/>
                <w:u w:val="none"/>
                <w:lang w:val="en-US" w:eastAsia="zh-CN" w:bidi="ar-SA"/>
              </w:rPr>
              <w:t>技术服务要求明细及商务要求</w:t>
            </w:r>
          </w:p>
        </w:tc>
      </w:tr>
      <w:tr w14:paraId="5130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90" w:type="dxa"/>
            <w:vAlign w:val="center"/>
          </w:tcPr>
          <w:p w14:paraId="575E9A3E">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lang w:val="en-US" w:eastAsia="zh-CN"/>
              </w:rPr>
            </w:pPr>
            <w:r>
              <w:rPr>
                <w:rFonts w:hint="eastAsia"/>
                <w:lang w:val="en-US" w:eastAsia="zh-CN"/>
              </w:rPr>
              <w:t>1</w:t>
            </w:r>
          </w:p>
        </w:tc>
        <w:tc>
          <w:tcPr>
            <w:tcW w:w="8235" w:type="dxa"/>
            <w:vAlign w:val="center"/>
          </w:tcPr>
          <w:p w14:paraId="1FD8AB23">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lang w:val="en-US" w:eastAsia="zh-CN"/>
              </w:rPr>
            </w:pPr>
            <w:r>
              <w:rPr>
                <w:rFonts w:hint="eastAsia"/>
                <w:lang w:val="en-US" w:eastAsia="zh-CN"/>
              </w:rPr>
              <w:t>维保服务内容，包括但不限于定期性调校，润滑，检查所有电梯的线路，机械的运行状态，以及电梯部件的磨损情况，并做好清洁卫生工作。</w:t>
            </w:r>
          </w:p>
        </w:tc>
      </w:tr>
      <w:tr w14:paraId="1C91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90" w:type="dxa"/>
            <w:vAlign w:val="center"/>
          </w:tcPr>
          <w:p w14:paraId="1F5F471D">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lang w:val="en-US" w:eastAsia="zh-CN"/>
              </w:rPr>
            </w:pPr>
            <w:r>
              <w:rPr>
                <w:rFonts w:hint="eastAsia"/>
                <w:lang w:val="en-US" w:eastAsia="zh-CN"/>
              </w:rPr>
              <w:t>2</w:t>
            </w:r>
          </w:p>
        </w:tc>
        <w:tc>
          <w:tcPr>
            <w:tcW w:w="8235" w:type="dxa"/>
            <w:vAlign w:val="center"/>
          </w:tcPr>
          <w:p w14:paraId="547A7C23">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lang w:val="en-US" w:eastAsia="zh-CN"/>
              </w:rPr>
            </w:pPr>
            <w:r>
              <w:rPr>
                <w:rFonts w:hint="eastAsia"/>
                <w:lang w:val="en-US" w:eastAsia="zh-CN"/>
              </w:rPr>
              <w:t>每季度向医院提交一份电梯设备保养报告，将电梯设备运行所存在的隐患和改进措施向医院书面陈述，以便医院决策，如未按时提交报告或伪造报告，每次扣除保养费伍佰元作为中标人应支付的违约金，并因此造成的一切后果由中标人承担。</w:t>
            </w:r>
          </w:p>
        </w:tc>
      </w:tr>
      <w:tr w14:paraId="7E01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90" w:type="dxa"/>
            <w:vAlign w:val="center"/>
          </w:tcPr>
          <w:p w14:paraId="1C0ACE86">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lang w:val="en-US" w:eastAsia="zh-CN"/>
              </w:rPr>
            </w:pPr>
            <w:r>
              <w:rPr>
                <w:rFonts w:hint="eastAsia"/>
                <w:lang w:val="en-US" w:eastAsia="zh-CN"/>
              </w:rPr>
              <w:t>3</w:t>
            </w:r>
          </w:p>
        </w:tc>
        <w:tc>
          <w:tcPr>
            <w:tcW w:w="8235" w:type="dxa"/>
            <w:vAlign w:val="center"/>
          </w:tcPr>
          <w:p w14:paraId="5D5B0788">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lang w:val="en-US" w:eastAsia="zh-CN"/>
              </w:rPr>
            </w:pPr>
            <w:r>
              <w:rPr>
                <w:rFonts w:hint="eastAsia"/>
                <w:lang w:val="en-US" w:eastAsia="zh-CN"/>
              </w:rPr>
              <w:t>中标人负责无偿承担单个200元以下配件的更换费用。（提供配件清单及承诺函，格式自拟）</w:t>
            </w:r>
          </w:p>
        </w:tc>
      </w:tr>
      <w:tr w14:paraId="42D2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8DB0AC6">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lang w:val="en-US" w:eastAsia="zh-CN"/>
              </w:rPr>
            </w:pPr>
            <w:r>
              <w:rPr>
                <w:rFonts w:hint="eastAsia"/>
                <w:lang w:val="en-US" w:eastAsia="zh-CN"/>
              </w:rPr>
              <w:t>4</w:t>
            </w:r>
          </w:p>
        </w:tc>
        <w:tc>
          <w:tcPr>
            <w:tcW w:w="8235" w:type="dxa"/>
            <w:vAlign w:val="center"/>
          </w:tcPr>
          <w:p w14:paraId="0C4644DD">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lang w:val="en-US" w:eastAsia="zh-CN"/>
              </w:rPr>
            </w:pPr>
            <w:r>
              <w:rPr>
                <w:rFonts w:hint="eastAsia"/>
                <w:lang w:val="en-US" w:eastAsia="zh-CN"/>
              </w:rPr>
              <w:t>按国家规定提供标准的保养服务</w:t>
            </w:r>
            <w:r>
              <w:rPr>
                <w:rFonts w:hint="eastAsia"/>
                <w:strike w:val="0"/>
                <w:dstrike w:val="0"/>
                <w:color w:val="auto"/>
                <w:lang w:val="en-US" w:eastAsia="zh-CN"/>
              </w:rPr>
              <w:t>（如国家规定修改，以国家规定为准）</w:t>
            </w:r>
            <w:r>
              <w:rPr>
                <w:rFonts w:hint="eastAsia"/>
                <w:lang w:val="en-US" w:eastAsia="zh-CN"/>
              </w:rPr>
              <w:t>，即每隔十五天一次例行保养；每季度一次全面检查；每年一次对设备进行综合性安全确认和检修调整（中小修），确保电梯处于良好的运行状态。</w:t>
            </w:r>
          </w:p>
        </w:tc>
      </w:tr>
      <w:tr w14:paraId="6E03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10D47A3">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lang w:val="en-US" w:eastAsia="zh-CN"/>
              </w:rPr>
            </w:pPr>
            <w:r>
              <w:rPr>
                <w:rFonts w:hint="eastAsia"/>
                <w:lang w:val="en-US" w:eastAsia="zh-CN"/>
              </w:rPr>
              <w:t>5</w:t>
            </w:r>
          </w:p>
        </w:tc>
        <w:tc>
          <w:tcPr>
            <w:tcW w:w="8235" w:type="dxa"/>
            <w:vAlign w:val="center"/>
          </w:tcPr>
          <w:p w14:paraId="60BAAF91">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auto"/>
                <w:lang w:val="en-US" w:eastAsia="zh-CN"/>
              </w:rPr>
            </w:pPr>
            <w:r>
              <w:rPr>
                <w:rFonts w:hint="eastAsia"/>
                <w:color w:val="auto"/>
                <w:lang w:val="en-US" w:eastAsia="zh-CN"/>
              </w:rPr>
              <w:t>维保期内，中标人按照国家相关标准、规范及《电梯维修保养规则》TSG/T5002-2017(如出台新的规定按新规定执行)并提供7×24小时不限次数的技术服务、维护保养、故障维修、应急救援及配件更换，以确保电梯处于良好的运行状态。</w:t>
            </w:r>
          </w:p>
        </w:tc>
      </w:tr>
      <w:tr w14:paraId="401E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8BBFD76">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r>
              <w:rPr>
                <w:rFonts w:hint="eastAsia"/>
                <w:color w:val="auto"/>
                <w:lang w:val="en-US" w:eastAsia="zh-CN"/>
              </w:rPr>
              <w:t>6</w:t>
            </w:r>
          </w:p>
        </w:tc>
        <w:tc>
          <w:tcPr>
            <w:tcW w:w="8235" w:type="dxa"/>
            <w:vAlign w:val="center"/>
          </w:tcPr>
          <w:p w14:paraId="22C2159F">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auto"/>
                <w:lang w:val="en-US" w:eastAsia="zh-CN"/>
              </w:rPr>
            </w:pPr>
            <w:r>
              <w:rPr>
                <w:rFonts w:hint="eastAsia"/>
                <w:color w:val="auto"/>
                <w:lang w:val="en-US" w:eastAsia="zh-CN"/>
              </w:rPr>
              <w:t>保证在桃江县人民医院专职配备1名专业技术人员，重点应对医院电梯的维保工作，提供24小时全天候的紧急故障处理或意外事故的技术性服务，并保证在医院配备易损配件做紧急备用。</w:t>
            </w:r>
          </w:p>
        </w:tc>
      </w:tr>
      <w:tr w14:paraId="70D4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19419AB">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lang w:val="en-US" w:eastAsia="zh-CN"/>
              </w:rPr>
            </w:pPr>
            <w:r>
              <w:rPr>
                <w:rFonts w:hint="eastAsia"/>
                <w:lang w:val="en-US" w:eastAsia="zh-CN"/>
              </w:rPr>
              <w:t>7</w:t>
            </w:r>
          </w:p>
        </w:tc>
        <w:tc>
          <w:tcPr>
            <w:tcW w:w="8235" w:type="dxa"/>
            <w:vAlign w:val="center"/>
          </w:tcPr>
          <w:p w14:paraId="55C7F8AE">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lang w:val="en-US" w:eastAsia="zh-CN"/>
              </w:rPr>
            </w:pPr>
            <w:r>
              <w:rPr>
                <w:rFonts w:hint="eastAsia"/>
                <w:lang w:val="en-US" w:eastAsia="zh-CN"/>
              </w:rPr>
              <w:t>维修人员须持有电梯维修操作证，在医院备案并接受医院管理与监督，维修人员的人身保险、安全防护等事项均由中标人负责。</w:t>
            </w:r>
          </w:p>
        </w:tc>
      </w:tr>
      <w:tr w14:paraId="6FE2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70BAEFF">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lang w:val="en-US" w:eastAsia="zh-CN"/>
              </w:rPr>
            </w:pPr>
            <w:r>
              <w:rPr>
                <w:rFonts w:hint="eastAsia"/>
                <w:lang w:val="en-US" w:eastAsia="zh-CN"/>
              </w:rPr>
              <w:t>8</w:t>
            </w:r>
          </w:p>
        </w:tc>
        <w:tc>
          <w:tcPr>
            <w:tcW w:w="8235" w:type="dxa"/>
            <w:vAlign w:val="center"/>
          </w:tcPr>
          <w:p w14:paraId="4C5A0649">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lang w:val="en-US" w:eastAsia="zh-CN"/>
              </w:rPr>
            </w:pPr>
            <w:r>
              <w:rPr>
                <w:rFonts w:hint="eastAsia"/>
                <w:lang w:val="en-US" w:eastAsia="zh-CN"/>
              </w:rPr>
              <w:t>电梯年检、电梯保险由中标人按期向益阳市市场监督管理局有关部门申报、办理电梯安全检验手续，保证一次性检测合格并按期取得《电梯使用标志》，相关费用由中标人承担。合同期内，电梯年检若因中标人原因延误，对医院造成损失的，由中标人全部承担。</w:t>
            </w:r>
          </w:p>
        </w:tc>
      </w:tr>
      <w:tr w14:paraId="0F66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2D0A82AA">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lang w:val="en-US" w:eastAsia="zh-CN"/>
              </w:rPr>
            </w:pPr>
            <w:r>
              <w:rPr>
                <w:rFonts w:hint="eastAsia"/>
                <w:lang w:val="en-US" w:eastAsia="zh-CN"/>
              </w:rPr>
              <w:t>9</w:t>
            </w:r>
          </w:p>
        </w:tc>
        <w:tc>
          <w:tcPr>
            <w:tcW w:w="8235" w:type="dxa"/>
            <w:vAlign w:val="center"/>
          </w:tcPr>
          <w:p w14:paraId="70092EB5">
            <w:pPr>
              <w:keepNext w:val="0"/>
              <w:keepLines w:val="0"/>
              <w:pageBreakBefore w:val="0"/>
              <w:widowControl w:val="0"/>
              <w:kinsoku/>
              <w:wordWrap/>
              <w:overflowPunct/>
              <w:topLinePunct w:val="0"/>
              <w:autoSpaceDE/>
              <w:autoSpaceDN/>
              <w:bidi w:val="0"/>
              <w:adjustRightInd/>
              <w:snapToGrid/>
              <w:spacing w:line="454" w:lineRule="exact"/>
              <w:textAlignment w:val="auto"/>
              <w:rPr>
                <w:rFonts w:hint="default"/>
                <w:lang w:val="en-US" w:eastAsia="zh-CN"/>
              </w:rPr>
            </w:pPr>
            <w:r>
              <w:rPr>
                <w:rFonts w:hint="eastAsia"/>
                <w:lang w:val="en-US" w:eastAsia="zh-CN"/>
              </w:rPr>
              <w:t>电梯使用到一定年限，需大修时，由双方协商，另行约定。</w:t>
            </w:r>
          </w:p>
        </w:tc>
      </w:tr>
      <w:tr w14:paraId="67CE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A1A3E29">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lang w:val="en-US" w:eastAsia="zh-CN"/>
              </w:rPr>
            </w:pPr>
            <w:r>
              <w:rPr>
                <w:rFonts w:hint="eastAsia"/>
                <w:lang w:val="en-US" w:eastAsia="zh-CN"/>
              </w:rPr>
              <w:t>10</w:t>
            </w:r>
          </w:p>
        </w:tc>
        <w:tc>
          <w:tcPr>
            <w:tcW w:w="8235" w:type="dxa"/>
            <w:vAlign w:val="center"/>
          </w:tcPr>
          <w:p w14:paraId="092553C0">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FF0000"/>
                <w:lang w:val="en-US" w:eastAsia="zh-CN"/>
              </w:rPr>
            </w:pPr>
            <w:r>
              <w:rPr>
                <w:rFonts w:hint="eastAsia"/>
                <w:lang w:val="en-US" w:eastAsia="zh-CN"/>
              </w:rPr>
              <w:t>严格按照益阳市市场监督管理局电梯格式合同条款的规定，明确每台电梯的保养时间及最高故障资料。</w:t>
            </w:r>
          </w:p>
        </w:tc>
      </w:tr>
      <w:tr w14:paraId="55B0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7AAB362F">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r>
              <w:rPr>
                <w:rFonts w:hint="eastAsia"/>
                <w:color w:val="auto"/>
                <w:lang w:val="en-US" w:eastAsia="zh-CN"/>
              </w:rPr>
              <w:t>11</w:t>
            </w:r>
          </w:p>
        </w:tc>
        <w:tc>
          <w:tcPr>
            <w:tcW w:w="8235" w:type="dxa"/>
            <w:vAlign w:val="center"/>
          </w:tcPr>
          <w:p w14:paraId="50592E0D">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strike/>
                <w:dstrike w:val="0"/>
                <w:color w:val="auto"/>
                <w:lang w:val="en-US" w:eastAsia="zh-CN"/>
              </w:rPr>
            </w:pPr>
            <w:r>
              <w:rPr>
                <w:rFonts w:hint="eastAsia"/>
                <w:strike w:val="0"/>
                <w:dstrike w:val="0"/>
                <w:color w:val="auto"/>
                <w:lang w:val="en-US" w:eastAsia="zh-CN"/>
              </w:rPr>
              <w:t>一般故障2小时内排除，较大故障8小时内排除。因特殊情况，经医院同意可以延长维修时间，但必须48小时内修复。</w:t>
            </w:r>
          </w:p>
        </w:tc>
      </w:tr>
      <w:tr w14:paraId="0D28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5314BBA7">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r>
              <w:rPr>
                <w:rFonts w:hint="eastAsia"/>
                <w:color w:val="auto"/>
                <w:lang w:val="en-US" w:eastAsia="zh-CN"/>
              </w:rPr>
              <w:t>12</w:t>
            </w:r>
          </w:p>
        </w:tc>
        <w:tc>
          <w:tcPr>
            <w:tcW w:w="8235" w:type="dxa"/>
            <w:vAlign w:val="center"/>
          </w:tcPr>
          <w:p w14:paraId="08FABC52">
            <w:pPr>
              <w:keepNext w:val="0"/>
              <w:keepLines w:val="0"/>
              <w:pageBreakBefore w:val="0"/>
              <w:widowControl w:val="0"/>
              <w:kinsoku/>
              <w:wordWrap/>
              <w:overflowPunct/>
              <w:topLinePunct w:val="0"/>
              <w:autoSpaceDE/>
              <w:autoSpaceDN/>
              <w:bidi w:val="0"/>
              <w:adjustRightInd/>
              <w:snapToGrid/>
              <w:spacing w:line="454" w:lineRule="exact"/>
              <w:textAlignment w:val="auto"/>
              <w:rPr>
                <w:rFonts w:hint="default"/>
                <w:color w:val="auto"/>
                <w:lang w:val="en-US" w:eastAsia="zh-CN"/>
              </w:rPr>
            </w:pPr>
            <w:r>
              <w:rPr>
                <w:rFonts w:hint="eastAsia"/>
                <w:color w:val="auto"/>
                <w:lang w:val="en-US" w:eastAsia="zh-CN"/>
              </w:rPr>
              <w:t>工作人员在工作场所因用电、用水、高空作业等不注意安全引起生产事故，或发生意外伤亡事故，中标人承担全部责任，采购人概不承担任何责任。因电梯设备故障或与电梯有关的其它原因导致的人员投诉及经济赔偿、维保人员在医院内活动时出现的任何人身伤害赔偿，均由中标人承担。</w:t>
            </w:r>
          </w:p>
        </w:tc>
      </w:tr>
      <w:tr w14:paraId="6220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77E2DD5">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r>
              <w:rPr>
                <w:rFonts w:hint="eastAsia"/>
                <w:color w:val="auto"/>
                <w:lang w:val="en-US" w:eastAsia="zh-CN"/>
              </w:rPr>
              <w:t>13</w:t>
            </w:r>
          </w:p>
        </w:tc>
        <w:tc>
          <w:tcPr>
            <w:tcW w:w="8235" w:type="dxa"/>
            <w:vAlign w:val="center"/>
          </w:tcPr>
          <w:p w14:paraId="2F00FC49">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auto"/>
                <w:lang w:val="en-US" w:eastAsia="zh-CN"/>
              </w:rPr>
            </w:pPr>
            <w:r>
              <w:rPr>
                <w:rFonts w:hint="eastAsia"/>
                <w:color w:val="auto"/>
                <w:lang w:val="en-US" w:eastAsia="zh-CN"/>
              </w:rPr>
              <w:t>因维修保养不当</w:t>
            </w:r>
            <w:r>
              <w:rPr>
                <w:rFonts w:hint="default"/>
                <w:color w:val="auto"/>
                <w:lang w:val="en-US" w:eastAsia="zh-CN"/>
              </w:rPr>
              <w:t>导致发生人身</w:t>
            </w:r>
            <w:r>
              <w:rPr>
                <w:rFonts w:hint="eastAsia"/>
                <w:color w:val="auto"/>
                <w:lang w:val="en-US" w:eastAsia="zh-CN"/>
              </w:rPr>
              <w:t>或</w:t>
            </w:r>
            <w:r>
              <w:rPr>
                <w:rFonts w:hint="default"/>
                <w:color w:val="auto"/>
                <w:lang w:val="en-US" w:eastAsia="zh-CN"/>
              </w:rPr>
              <w:t>机械事故</w:t>
            </w:r>
            <w:r>
              <w:rPr>
                <w:rFonts w:hint="eastAsia"/>
                <w:color w:val="auto"/>
                <w:lang w:val="en-US" w:eastAsia="zh-CN"/>
              </w:rPr>
              <w:t>，造成的经济损失或其他任何不良后果，</w:t>
            </w:r>
            <w:r>
              <w:rPr>
                <w:rFonts w:hint="default"/>
                <w:color w:val="auto"/>
                <w:lang w:val="en-US" w:eastAsia="zh-CN"/>
              </w:rPr>
              <w:t>其事故责任和损失由</w:t>
            </w:r>
            <w:r>
              <w:rPr>
                <w:rFonts w:hint="eastAsia"/>
                <w:color w:val="auto"/>
                <w:lang w:val="en-US" w:eastAsia="zh-CN"/>
              </w:rPr>
              <w:t>中标人</w:t>
            </w:r>
            <w:r>
              <w:rPr>
                <w:rFonts w:hint="default"/>
                <w:color w:val="auto"/>
                <w:lang w:val="en-US" w:eastAsia="zh-CN"/>
              </w:rPr>
              <w:t>承担，并赔偿医院因此造成的一切损失。</w:t>
            </w:r>
          </w:p>
        </w:tc>
      </w:tr>
      <w:tr w14:paraId="35C7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5F64D92">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r>
              <w:rPr>
                <w:rFonts w:hint="eastAsia"/>
                <w:color w:val="auto"/>
                <w:lang w:val="en-US" w:eastAsia="zh-CN"/>
              </w:rPr>
              <w:t>14</w:t>
            </w:r>
          </w:p>
        </w:tc>
        <w:tc>
          <w:tcPr>
            <w:tcW w:w="8235" w:type="dxa"/>
            <w:vAlign w:val="center"/>
          </w:tcPr>
          <w:p w14:paraId="6732E1EC">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auto"/>
                <w:lang w:val="en-US" w:eastAsia="zh-CN"/>
              </w:rPr>
            </w:pPr>
            <w:r>
              <w:rPr>
                <w:rFonts w:hint="eastAsia"/>
                <w:color w:val="auto"/>
                <w:lang w:val="en-US" w:eastAsia="zh-CN"/>
              </w:rPr>
              <w:t>维保人员在维保结束后应清理现场，对更换下来的配件、垃圾、机油等废弃物自行清理并符合相关处置程序。电梯维护保养作业现场应做好安全防护措施，保障施工安全，保持机房、维修现场干净整洁，保证医院的财物不受损坏，任何人为原因造成的损失均由中标人照价赔偿，严格遵守医院相关规章制度，服从医院的管理。</w:t>
            </w:r>
          </w:p>
        </w:tc>
      </w:tr>
      <w:tr w14:paraId="5770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74EABAF">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r>
              <w:rPr>
                <w:rFonts w:hint="eastAsia"/>
                <w:color w:val="auto"/>
                <w:lang w:val="en-US" w:eastAsia="zh-CN"/>
              </w:rPr>
              <w:t>15</w:t>
            </w:r>
          </w:p>
        </w:tc>
        <w:tc>
          <w:tcPr>
            <w:tcW w:w="8235" w:type="dxa"/>
            <w:vAlign w:val="center"/>
          </w:tcPr>
          <w:p w14:paraId="2EEFF256">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auto"/>
                <w:lang w:val="en-US" w:eastAsia="zh-CN"/>
              </w:rPr>
            </w:pPr>
            <w:r>
              <w:rPr>
                <w:rFonts w:hint="eastAsia"/>
                <w:color w:val="auto"/>
                <w:lang w:val="en-US" w:eastAsia="zh-CN"/>
              </w:rPr>
              <w:t>维保工程技术人员每次完成设备维修、维护相关服务须在采购人的归口管理部门保留原始工作记录，并双方签字确认。</w:t>
            </w:r>
          </w:p>
        </w:tc>
      </w:tr>
      <w:tr w14:paraId="527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20C6153F">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r>
              <w:rPr>
                <w:rFonts w:hint="eastAsia"/>
                <w:color w:val="auto"/>
                <w:lang w:val="en-US" w:eastAsia="zh-CN"/>
              </w:rPr>
              <w:t>16</w:t>
            </w:r>
          </w:p>
        </w:tc>
        <w:tc>
          <w:tcPr>
            <w:tcW w:w="8235" w:type="dxa"/>
            <w:vAlign w:val="center"/>
          </w:tcPr>
          <w:p w14:paraId="652342D9">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auto"/>
                <w:lang w:val="en-US" w:eastAsia="zh-CN"/>
              </w:rPr>
            </w:pPr>
            <w:r>
              <w:rPr>
                <w:rFonts w:hint="eastAsia"/>
                <w:color w:val="auto"/>
                <w:lang w:val="en-US" w:eastAsia="zh-CN"/>
              </w:rPr>
              <w:t>维保期内，保证仅使用原厂生产或经国家质量认证的全新合格产品及正版软件进行维修，保证维修后的设备达到原厂合格标准及相应的国家质量标准要求。</w:t>
            </w:r>
          </w:p>
        </w:tc>
      </w:tr>
      <w:tr w14:paraId="6EB7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2B43C2B5">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r>
              <w:rPr>
                <w:rFonts w:hint="eastAsia"/>
                <w:color w:val="auto"/>
                <w:lang w:val="en-US" w:eastAsia="zh-CN"/>
              </w:rPr>
              <w:t>17</w:t>
            </w:r>
          </w:p>
        </w:tc>
        <w:tc>
          <w:tcPr>
            <w:tcW w:w="8235" w:type="dxa"/>
            <w:vAlign w:val="center"/>
          </w:tcPr>
          <w:p w14:paraId="75C44BC8">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auto"/>
                <w:lang w:val="en-US" w:eastAsia="zh-CN"/>
              </w:rPr>
            </w:pPr>
            <w:r>
              <w:rPr>
                <w:rFonts w:hint="eastAsia"/>
                <w:color w:val="auto"/>
                <w:lang w:val="en-US" w:eastAsia="zh-CN"/>
              </w:rPr>
              <w:t>在维保服务期满时，确保所有电梯能正常使用，并达到国家规定的合格标准要求。</w:t>
            </w:r>
          </w:p>
        </w:tc>
      </w:tr>
      <w:tr w14:paraId="7B96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FBB6076">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r>
              <w:rPr>
                <w:rFonts w:hint="eastAsia"/>
                <w:color w:val="auto"/>
                <w:lang w:val="en-US" w:eastAsia="zh-CN"/>
              </w:rPr>
              <w:t>18</w:t>
            </w:r>
          </w:p>
        </w:tc>
        <w:tc>
          <w:tcPr>
            <w:tcW w:w="8235" w:type="dxa"/>
            <w:vAlign w:val="center"/>
          </w:tcPr>
          <w:p w14:paraId="7ACA984E">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auto"/>
                <w:lang w:val="en-US" w:eastAsia="zh-CN"/>
              </w:rPr>
            </w:pPr>
            <w:r>
              <w:rPr>
                <w:rFonts w:hint="eastAsia"/>
                <w:color w:val="auto"/>
                <w:lang w:val="en-US" w:eastAsia="zh-CN"/>
              </w:rPr>
              <w:t>因中标人原因导致的机房失火、电梯失火等，所产生的经济损失和人员伤亡由中标人负责。中标人发现有影响安全的任何隐患，均应及时通知采购人。</w:t>
            </w:r>
          </w:p>
        </w:tc>
      </w:tr>
      <w:tr w14:paraId="2BCA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54643491">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bookmarkStart w:id="8" w:name="_Toc256000045"/>
            <w:bookmarkStart w:id="9" w:name="_Toc20641"/>
            <w:r>
              <w:rPr>
                <w:rFonts w:hint="eastAsia"/>
                <w:color w:val="auto"/>
                <w:lang w:val="en-US" w:eastAsia="zh-CN"/>
              </w:rPr>
              <w:t>19</w:t>
            </w:r>
          </w:p>
        </w:tc>
        <w:tc>
          <w:tcPr>
            <w:tcW w:w="8235" w:type="dxa"/>
            <w:vAlign w:val="center"/>
          </w:tcPr>
          <w:p w14:paraId="6216FE80">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auto"/>
                <w:lang w:val="en-US" w:eastAsia="zh-CN"/>
              </w:rPr>
            </w:pPr>
            <w:r>
              <w:rPr>
                <w:rFonts w:hint="eastAsia"/>
                <w:color w:val="auto"/>
                <w:lang w:val="en-US" w:eastAsia="zh-CN"/>
              </w:rPr>
              <w:t>服务期限：3年，合同一年一签。</w:t>
            </w:r>
          </w:p>
        </w:tc>
      </w:tr>
      <w:tr w14:paraId="6DBE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2565BBC5">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r>
              <w:rPr>
                <w:rFonts w:hint="eastAsia"/>
                <w:color w:val="auto"/>
                <w:lang w:val="en-US" w:eastAsia="zh-CN"/>
              </w:rPr>
              <w:t>20</w:t>
            </w:r>
          </w:p>
        </w:tc>
        <w:tc>
          <w:tcPr>
            <w:tcW w:w="8235" w:type="dxa"/>
            <w:vAlign w:val="center"/>
          </w:tcPr>
          <w:p w14:paraId="4FB7CAE2">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auto"/>
                <w:lang w:val="en-US" w:eastAsia="zh-CN"/>
              </w:rPr>
            </w:pPr>
            <w:r>
              <w:rPr>
                <w:rFonts w:hint="eastAsia"/>
                <w:color w:val="auto"/>
                <w:lang w:val="en-US" w:eastAsia="zh-CN"/>
              </w:rPr>
              <w:t>付款方式：按季度支付电梯维保费，每季度支付年度合同总金额的25%。付款前，需提供正规发票、上季度电梯运行状态报告书，并保证所有电梯的正常良好运行。</w:t>
            </w:r>
          </w:p>
        </w:tc>
      </w:tr>
      <w:tr w14:paraId="1C82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ABBA48D">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r>
              <w:rPr>
                <w:rFonts w:hint="eastAsia"/>
                <w:color w:val="auto"/>
                <w:lang w:val="en-US" w:eastAsia="zh-CN"/>
              </w:rPr>
              <w:t>21</w:t>
            </w:r>
          </w:p>
        </w:tc>
        <w:tc>
          <w:tcPr>
            <w:tcW w:w="8235" w:type="dxa"/>
            <w:vAlign w:val="center"/>
          </w:tcPr>
          <w:p w14:paraId="57D55EE7">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auto"/>
                <w:lang w:val="en-US" w:eastAsia="zh-CN"/>
              </w:rPr>
            </w:pPr>
            <w:r>
              <w:rPr>
                <w:rFonts w:hint="eastAsia"/>
                <w:color w:val="auto"/>
                <w:lang w:val="en-US" w:eastAsia="zh-CN"/>
              </w:rPr>
              <w:t>可自行对施工现场和周围环境进行踏勘，以获取编制有关响应文件和签署合同时所需的有关资料。踏勘现场所发生的费用由潜在投标人自行承担，对由此次踏勘现场而造成的死亡、人身伤害、财产损失、损害以及其它任何损失、损害所造成的一切后果及费用自行承担。不得以不了解现场情况为由，提出任何形式的增加费用或索赔要求。</w:t>
            </w:r>
          </w:p>
        </w:tc>
      </w:tr>
      <w:tr w14:paraId="1EA5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7C775429">
            <w:pPr>
              <w:keepNext w:val="0"/>
              <w:keepLines w:val="0"/>
              <w:pageBreakBefore w:val="0"/>
              <w:widowControl w:val="0"/>
              <w:kinsoku/>
              <w:wordWrap/>
              <w:overflowPunct/>
              <w:topLinePunct w:val="0"/>
              <w:autoSpaceDE/>
              <w:autoSpaceDN/>
              <w:bidi w:val="0"/>
              <w:adjustRightInd/>
              <w:snapToGrid/>
              <w:spacing w:line="454" w:lineRule="exact"/>
              <w:jc w:val="center"/>
              <w:textAlignment w:val="auto"/>
              <w:rPr>
                <w:rFonts w:hint="default"/>
                <w:color w:val="auto"/>
                <w:lang w:val="en-US" w:eastAsia="zh-CN"/>
              </w:rPr>
            </w:pPr>
            <w:r>
              <w:rPr>
                <w:rFonts w:hint="eastAsia"/>
                <w:color w:val="auto"/>
                <w:lang w:val="en-US" w:eastAsia="zh-CN"/>
              </w:rPr>
              <w:t>22</w:t>
            </w:r>
          </w:p>
        </w:tc>
        <w:tc>
          <w:tcPr>
            <w:tcW w:w="8235" w:type="dxa"/>
            <w:vAlign w:val="center"/>
          </w:tcPr>
          <w:p w14:paraId="58743DC0">
            <w:pPr>
              <w:keepNext w:val="0"/>
              <w:keepLines w:val="0"/>
              <w:pageBreakBefore w:val="0"/>
              <w:widowControl w:val="0"/>
              <w:kinsoku/>
              <w:wordWrap/>
              <w:overflowPunct/>
              <w:topLinePunct w:val="0"/>
              <w:autoSpaceDE/>
              <w:autoSpaceDN/>
              <w:bidi w:val="0"/>
              <w:adjustRightInd/>
              <w:snapToGrid/>
              <w:spacing w:line="454" w:lineRule="exact"/>
              <w:textAlignment w:val="auto"/>
              <w:rPr>
                <w:rFonts w:hint="eastAsia"/>
                <w:color w:val="auto"/>
                <w:lang w:val="en-US" w:eastAsia="zh-CN"/>
              </w:rPr>
            </w:pPr>
            <w:r>
              <w:rPr>
                <w:rFonts w:hint="eastAsia"/>
                <w:color w:val="auto"/>
                <w:lang w:val="en-US" w:eastAsia="zh-CN"/>
              </w:rPr>
              <w:t>其他未尽事宜，由采购人与中标人于合同中另行协商约定。</w:t>
            </w:r>
          </w:p>
        </w:tc>
      </w:tr>
      <w:tr w14:paraId="27C7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925" w:type="dxa"/>
            <w:gridSpan w:val="2"/>
            <w:vAlign w:val="center"/>
          </w:tcPr>
          <w:p w14:paraId="470DF111">
            <w:pPr>
              <w:keepNext w:val="0"/>
              <w:keepLines w:val="0"/>
              <w:pageBreakBefore w:val="0"/>
              <w:widowControl w:val="0"/>
              <w:kinsoku/>
              <w:wordWrap/>
              <w:overflowPunct/>
              <w:topLinePunct w:val="0"/>
              <w:autoSpaceDE/>
              <w:autoSpaceDN/>
              <w:bidi w:val="0"/>
              <w:adjustRightInd/>
              <w:snapToGrid/>
              <w:spacing w:line="454" w:lineRule="exact"/>
              <w:ind w:firstLine="643" w:firstLineChars="200"/>
              <w:textAlignment w:val="auto"/>
              <w:rPr>
                <w:rFonts w:hint="eastAsia"/>
                <w:color w:val="FF0000"/>
                <w:lang w:val="en-US" w:eastAsia="zh-CN"/>
              </w:rPr>
            </w:pPr>
            <w:r>
              <w:rPr>
                <w:rFonts w:hint="eastAsia" w:ascii="楷体_GB2312" w:hAnsi="楷体_GB2312" w:eastAsia="楷体_GB2312" w:cs="楷体_GB2312"/>
                <w:b/>
                <w:bCs/>
                <w:color w:val="auto"/>
                <w:kern w:val="2"/>
                <w:sz w:val="32"/>
                <w:szCs w:val="32"/>
                <w:lang w:val="en-US" w:eastAsia="zh-CN" w:bidi="ar-SA"/>
              </w:rPr>
              <w:t>对于上述要求，投标人应在响应文件中进行回应。除比选文件另有规定外，若出现有关法律、法规有强制性规定但比选文件未列明的情形，则投标人应按照有关法律、法规强制性规定执行。</w:t>
            </w:r>
          </w:p>
        </w:tc>
      </w:tr>
      <w:bookmarkEnd w:id="7"/>
      <w:bookmarkEnd w:id="8"/>
      <w:bookmarkEnd w:id="9"/>
    </w:tbl>
    <w:p w14:paraId="710B2DE4">
      <w:pPr>
        <w:keepNext w:val="0"/>
        <w:keepLines w:val="0"/>
        <w:pageBreakBefore w:val="0"/>
        <w:kinsoku/>
        <w:wordWrap/>
        <w:overflowPunct/>
        <w:topLinePunct w:val="0"/>
        <w:autoSpaceDE/>
        <w:autoSpaceDN/>
        <w:bidi w:val="0"/>
        <w:adjustRightInd/>
        <w:snapToGrid/>
        <w:spacing w:line="530" w:lineRule="exact"/>
        <w:ind w:firstLine="723" w:firstLineChars="200"/>
        <w:jc w:val="both"/>
        <w:textAlignment w:val="auto"/>
        <w:rPr>
          <w:rFonts w:hint="eastAsia" w:ascii="楷体_GB2312" w:hAnsi="楷体_GB2312" w:eastAsia="楷体_GB2312" w:cs="楷体_GB2312"/>
          <w:b/>
          <w:bCs/>
          <w:color w:val="auto"/>
          <w:sz w:val="36"/>
          <w:szCs w:val="36"/>
        </w:rPr>
      </w:pPr>
    </w:p>
    <w:p w14:paraId="12EC8C35">
      <w:pPr>
        <w:pStyle w:val="22"/>
        <w:pageBreakBefore w:val="0"/>
        <w:kinsoku/>
        <w:overflowPunct/>
        <w:topLinePunct w:val="0"/>
        <w:bidi w:val="0"/>
        <w:spacing w:line="594" w:lineRule="exact"/>
        <w:rPr>
          <w:rFonts w:hint="eastAsia" w:ascii="宋体" w:hAnsi="宋体"/>
          <w:b/>
          <w:color w:val="auto"/>
          <w:sz w:val="36"/>
          <w:szCs w:val="36"/>
        </w:rPr>
      </w:pPr>
    </w:p>
    <w:p w14:paraId="394F93BB">
      <w:pPr>
        <w:pStyle w:val="22"/>
        <w:pageBreakBefore w:val="0"/>
        <w:kinsoku/>
        <w:overflowPunct/>
        <w:topLinePunct w:val="0"/>
        <w:bidi w:val="0"/>
        <w:spacing w:line="594" w:lineRule="exact"/>
        <w:rPr>
          <w:rFonts w:hint="eastAsia" w:ascii="宋体" w:hAnsi="宋体"/>
          <w:b/>
          <w:color w:val="auto"/>
          <w:sz w:val="36"/>
          <w:szCs w:val="36"/>
        </w:rPr>
        <w:sectPr>
          <w:pgSz w:w="11906" w:h="16838"/>
          <w:pgMar w:top="1474" w:right="1474" w:bottom="1474" w:left="1474" w:header="851" w:footer="992" w:gutter="0"/>
          <w:pgNumType w:fmt="decimal"/>
          <w:cols w:space="720" w:num="1"/>
          <w:docGrid w:type="lines" w:linePitch="312" w:charSpace="0"/>
        </w:sectPr>
      </w:pPr>
    </w:p>
    <w:p w14:paraId="4249D71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28"/>
          <w:szCs w:val="28"/>
        </w:rPr>
      </w:pPr>
      <w:r>
        <w:rPr>
          <w:rFonts w:hint="eastAsia" w:ascii="黑体" w:hAnsi="黑体" w:eastAsia="黑体" w:cs="黑体"/>
          <w:b w:val="0"/>
          <w:bCs/>
          <w:color w:val="auto"/>
          <w:kern w:val="2"/>
          <w:sz w:val="44"/>
          <w:szCs w:val="44"/>
          <w:lang w:val="en-US" w:eastAsia="zh-CN" w:bidi="ar-SA"/>
        </w:rPr>
        <w:t>第三章  评审方法及无效投标条款</w:t>
      </w:r>
    </w:p>
    <w:p w14:paraId="2C2FE46F">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0" w:name="_Toc467675506"/>
      <w:bookmarkEnd w:id="10"/>
      <w:r>
        <w:rPr>
          <w:rFonts w:hint="eastAsia" w:ascii="方正仿宋_GB2312" w:hAnsi="方正仿宋_GB2312" w:eastAsia="方正仿宋_GB2312" w:cs="方正仿宋_GB2312"/>
          <w:b/>
          <w:bCs/>
          <w:color w:val="auto"/>
          <w:kern w:val="0"/>
          <w:sz w:val="32"/>
          <w:szCs w:val="32"/>
          <w:lang w:val="en-US" w:eastAsia="zh-CN" w:bidi="ar-SA"/>
        </w:rPr>
        <w:t>一、评标方法</w:t>
      </w:r>
    </w:p>
    <w:p w14:paraId="46609297">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（一）评标方法定义</w:t>
      </w:r>
    </w:p>
    <w:p w14:paraId="66077273">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kern w:val="0"/>
          <w:sz w:val="32"/>
          <w:szCs w:val="32"/>
        </w:rPr>
        <w:t>综合评分法：本项目采用综合评分法进行评标。综合评分法，是指</w:t>
      </w:r>
      <w:r>
        <w:rPr>
          <w:rFonts w:hint="eastAsia" w:ascii="方正仿宋_GB2312" w:hAnsi="方正仿宋_GB2312" w:eastAsia="方正仿宋_GB2312" w:cs="方正仿宋_GB2312"/>
          <w:color w:val="auto"/>
          <w:kern w:val="0"/>
          <w:sz w:val="32"/>
          <w:szCs w:val="32"/>
          <w:lang w:eastAsia="zh-CN"/>
        </w:rPr>
        <w:t>响应</w:t>
      </w:r>
      <w:r>
        <w:rPr>
          <w:rFonts w:hint="eastAsia" w:ascii="方正仿宋_GB2312" w:hAnsi="方正仿宋_GB2312" w:eastAsia="方正仿宋_GB2312" w:cs="方正仿宋_GB2312"/>
          <w:color w:val="auto"/>
          <w:kern w:val="0"/>
          <w:sz w:val="32"/>
          <w:szCs w:val="32"/>
        </w:rPr>
        <w:t>文件满足</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文件全部实质性要求且按照评审因素的量化指标评审得分最高的投标人为中标候选人的评标方法。投标人总得分为价格、商务技术等评定因素分别按照相应权重值计算分项得分后相加，满分为100分。</w:t>
      </w:r>
    </w:p>
    <w:p w14:paraId="65DB065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楷体_GB2312" w:hAnsi="方正楷体_GB2312" w:eastAsia="方正楷体_GB2312" w:cs="方正楷体_GB2312"/>
          <w:b w:val="0"/>
          <w:bCs/>
          <w:color w:val="auto"/>
          <w:kern w:val="0"/>
          <w:sz w:val="32"/>
          <w:szCs w:val="32"/>
        </w:rPr>
      </w:pPr>
      <w:r>
        <w:rPr>
          <w:rFonts w:hint="eastAsia" w:ascii="方正楷体_GB2312" w:hAnsi="方正楷体_GB2312" w:eastAsia="方正楷体_GB2312" w:cs="方正楷体_GB2312"/>
          <w:b w:val="0"/>
          <w:bCs/>
          <w:color w:val="auto"/>
          <w:kern w:val="0"/>
          <w:sz w:val="32"/>
          <w:szCs w:val="32"/>
        </w:rPr>
        <w:t>本次</w:t>
      </w:r>
      <w:r>
        <w:rPr>
          <w:rFonts w:hint="eastAsia" w:ascii="方正楷体_GB2312" w:hAnsi="方正楷体_GB2312" w:eastAsia="方正楷体_GB2312" w:cs="方正楷体_GB2312"/>
          <w:b w:val="0"/>
          <w:bCs/>
          <w:color w:val="auto"/>
          <w:kern w:val="0"/>
          <w:sz w:val="32"/>
          <w:szCs w:val="32"/>
          <w:lang w:eastAsia="zh-CN"/>
        </w:rPr>
        <w:t>比选</w:t>
      </w:r>
      <w:r>
        <w:rPr>
          <w:rFonts w:hint="eastAsia" w:ascii="方正楷体_GB2312" w:hAnsi="方正楷体_GB2312" w:eastAsia="方正楷体_GB2312" w:cs="方正楷体_GB2312"/>
          <w:b w:val="0"/>
          <w:bCs/>
          <w:color w:val="auto"/>
          <w:kern w:val="0"/>
          <w:sz w:val="32"/>
          <w:szCs w:val="32"/>
        </w:rPr>
        <w:t>项目作为</w:t>
      </w:r>
      <w:r>
        <w:rPr>
          <w:rFonts w:hint="eastAsia" w:ascii="方正楷体_GB2312" w:hAnsi="方正楷体_GB2312" w:eastAsia="方正楷体_GB2312" w:cs="方正楷体_GB2312"/>
          <w:b w:val="0"/>
          <w:bCs/>
          <w:color w:val="auto"/>
          <w:kern w:val="0"/>
          <w:sz w:val="32"/>
          <w:szCs w:val="32"/>
          <w:lang w:val="en-US" w:eastAsia="zh-CN"/>
        </w:rPr>
        <w:t>1</w:t>
      </w:r>
      <w:r>
        <w:rPr>
          <w:rFonts w:hint="eastAsia" w:ascii="方正楷体_GB2312" w:hAnsi="方正楷体_GB2312" w:eastAsia="方正楷体_GB2312" w:cs="方正楷体_GB2312"/>
          <w:b w:val="0"/>
          <w:bCs/>
          <w:color w:val="auto"/>
          <w:kern w:val="0"/>
          <w:sz w:val="32"/>
          <w:szCs w:val="32"/>
        </w:rPr>
        <w:t>个包进行评标。</w:t>
      </w:r>
    </w:p>
    <w:p w14:paraId="70F280C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（二）评标程序</w:t>
      </w:r>
    </w:p>
    <w:p w14:paraId="62B1650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评标工作由采购人自行组织。</w:t>
      </w:r>
    </w:p>
    <w:p w14:paraId="73F9DC6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评标委员会成员到位后，推举其中一位评审专家担任评审组长，并由评审组长牵头组织该项目评审工作。评标委员会按以下程序独立履行评审职责：</w:t>
      </w:r>
    </w:p>
    <w:p w14:paraId="09D23D5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1、资格性检查。依据法律法规和</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文件的规定，对</w:t>
      </w:r>
      <w:r>
        <w:rPr>
          <w:rFonts w:hint="eastAsia" w:ascii="方正仿宋_GB2312" w:hAnsi="方正仿宋_GB2312" w:eastAsia="方正仿宋_GB2312" w:cs="方正仿宋_GB2312"/>
          <w:color w:val="auto"/>
          <w:kern w:val="0"/>
          <w:sz w:val="32"/>
          <w:szCs w:val="32"/>
          <w:lang w:eastAsia="zh-CN"/>
        </w:rPr>
        <w:t>比选响应</w:t>
      </w:r>
      <w:r>
        <w:rPr>
          <w:rFonts w:hint="eastAsia" w:ascii="方正仿宋_GB2312" w:hAnsi="方正仿宋_GB2312" w:eastAsia="方正仿宋_GB2312" w:cs="方正仿宋_GB2312"/>
          <w:color w:val="auto"/>
          <w:kern w:val="0"/>
          <w:sz w:val="32"/>
          <w:szCs w:val="32"/>
        </w:rPr>
        <w:t>文件中的资格证明等进行审查，以确定投标人是否具备投标资格。</w:t>
      </w:r>
    </w:p>
    <w:tbl>
      <w:tblPr>
        <w:tblStyle w:val="19"/>
        <w:tblW w:w="89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70"/>
        <w:gridCol w:w="4355"/>
        <w:gridCol w:w="3120"/>
      </w:tblGrid>
      <w:tr w14:paraId="0EDB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14:paraId="3AFF4344">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5025" w:type="dxa"/>
            <w:gridSpan w:val="2"/>
            <w:tcBorders>
              <w:top w:val="single" w:color="auto" w:sz="4" w:space="0"/>
              <w:left w:val="nil"/>
              <w:bottom w:val="single" w:color="auto" w:sz="4" w:space="0"/>
              <w:right w:val="single" w:color="auto" w:sz="4" w:space="0"/>
            </w:tcBorders>
            <w:vAlign w:val="center"/>
          </w:tcPr>
          <w:p w14:paraId="37009A78">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检查因素</w:t>
            </w:r>
          </w:p>
        </w:tc>
        <w:tc>
          <w:tcPr>
            <w:tcW w:w="3120" w:type="dxa"/>
            <w:tcBorders>
              <w:top w:val="single" w:color="auto" w:sz="4" w:space="0"/>
              <w:left w:val="nil"/>
              <w:bottom w:val="single" w:color="auto" w:sz="4" w:space="0"/>
              <w:right w:val="single" w:color="auto" w:sz="4" w:space="0"/>
            </w:tcBorders>
            <w:vAlign w:val="center"/>
          </w:tcPr>
          <w:p w14:paraId="00116146">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检查内容</w:t>
            </w:r>
          </w:p>
        </w:tc>
      </w:tr>
      <w:tr w14:paraId="55B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10" w:type="dxa"/>
            <w:vMerge w:val="restart"/>
            <w:tcBorders>
              <w:top w:val="nil"/>
              <w:left w:val="single" w:color="auto" w:sz="4" w:space="0"/>
              <w:bottom w:val="single" w:color="auto" w:sz="4" w:space="0"/>
              <w:right w:val="single" w:color="auto" w:sz="4" w:space="0"/>
            </w:tcBorders>
            <w:vAlign w:val="center"/>
          </w:tcPr>
          <w:p w14:paraId="34EAF13F">
            <w:pPr>
              <w:jc w:val="center"/>
              <w:rPr>
                <w:rFonts w:hint="eastAsia"/>
              </w:rPr>
            </w:pPr>
            <w:r>
              <w:rPr>
                <w:rFonts w:hint="eastAsia"/>
              </w:rPr>
              <w:t>1</w:t>
            </w:r>
          </w:p>
        </w:tc>
        <w:tc>
          <w:tcPr>
            <w:tcW w:w="670" w:type="dxa"/>
            <w:vMerge w:val="restart"/>
            <w:tcBorders>
              <w:top w:val="nil"/>
              <w:left w:val="nil"/>
              <w:right w:val="single" w:color="auto" w:sz="4" w:space="0"/>
            </w:tcBorders>
            <w:vAlign w:val="center"/>
          </w:tcPr>
          <w:p w14:paraId="7490026E">
            <w:pPr>
              <w:rPr>
                <w:rFonts w:hint="eastAsia"/>
              </w:rPr>
            </w:pPr>
            <w:r>
              <w:rPr>
                <w:rFonts w:hint="eastAsia"/>
              </w:rPr>
              <w:t>投标人应符合的基本资格条件</w:t>
            </w:r>
          </w:p>
        </w:tc>
        <w:tc>
          <w:tcPr>
            <w:tcW w:w="4355" w:type="dxa"/>
            <w:tcBorders>
              <w:top w:val="single" w:color="auto" w:sz="4" w:space="0"/>
              <w:left w:val="nil"/>
              <w:bottom w:val="single" w:color="auto" w:sz="4" w:space="0"/>
              <w:right w:val="single" w:color="auto" w:sz="4" w:space="0"/>
            </w:tcBorders>
            <w:vAlign w:val="center"/>
          </w:tcPr>
          <w:p w14:paraId="44F235D1">
            <w:pPr>
              <w:rPr>
                <w:rFonts w:hint="eastAsia"/>
              </w:rPr>
            </w:pPr>
            <w:r>
              <w:rPr>
                <w:rFonts w:hint="eastAsia"/>
              </w:rPr>
              <w:t>（1）必须是在中华人民共和国境内注册，具备独立法人资格，依法缴纳税收和社会保障资金，具有独立承担民事责任的能力</w:t>
            </w:r>
          </w:p>
        </w:tc>
        <w:tc>
          <w:tcPr>
            <w:tcW w:w="3120" w:type="dxa"/>
            <w:vMerge w:val="restart"/>
            <w:tcBorders>
              <w:top w:val="single" w:color="auto" w:sz="4" w:space="0"/>
              <w:left w:val="nil"/>
              <w:right w:val="single" w:color="auto" w:sz="4" w:space="0"/>
            </w:tcBorders>
            <w:vAlign w:val="center"/>
          </w:tcPr>
          <w:p w14:paraId="00F9AC42">
            <w:pPr>
              <w:rPr>
                <w:rFonts w:hint="default"/>
                <w:lang w:val="en-US" w:eastAsia="zh-CN"/>
              </w:rPr>
            </w:pPr>
            <w:r>
              <w:rPr>
                <w:rFonts w:hint="eastAsia"/>
                <w:lang w:val="en-US" w:eastAsia="zh-CN"/>
              </w:rPr>
              <w:t>1、</w:t>
            </w:r>
            <w:r>
              <w:rPr>
                <w:rFonts w:hint="eastAsia"/>
              </w:rPr>
              <w:t>投标人资质证书、营业执照（副本）、投标人法定代表人身份证明和法定代表人授权代表委托书</w:t>
            </w:r>
            <w:r>
              <w:rPr>
                <w:rFonts w:hint="eastAsia"/>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val="zh-CN"/>
              </w:rPr>
              <w:t>法定代表人身份证明原件扫描件或法定代表人授权委托书原件扫描件附法定代表人身份证明原件扫描件,并提供授权委托人的社保证明或者其他证明资料，提供以下资料之一：（1）授权委托人在响应文件递交截止时间前近3个月</w:t>
            </w:r>
            <w:r>
              <w:rPr>
                <w:rFonts w:hint="eastAsia" w:ascii="宋体" w:hAnsi="宋体" w:eastAsia="宋体" w:cs="宋体"/>
                <w:color w:val="auto"/>
                <w:sz w:val="21"/>
                <w:szCs w:val="21"/>
              </w:rPr>
              <w:t>的任意1个月</w:t>
            </w:r>
            <w:r>
              <w:rPr>
                <w:rFonts w:hint="eastAsia" w:ascii="宋体" w:hAnsi="宋体" w:eastAsia="宋体" w:cs="宋体"/>
                <w:color w:val="auto"/>
                <w:sz w:val="21"/>
                <w:szCs w:val="21"/>
                <w:lang w:val="zh-CN"/>
              </w:rPr>
              <w:t>的供应商公司社保缴纳证明。（2）如果授权委托人无需缴纳社保的（如退休等），须提供无需缴纳社保的情况说明。</w:t>
            </w:r>
            <w:r>
              <w:rPr>
                <w:rFonts w:hint="eastAsia"/>
                <w:lang w:eastAsia="zh-CN"/>
              </w:rPr>
              <w:t>）</w:t>
            </w:r>
          </w:p>
          <w:p w14:paraId="416813DB">
            <w:pPr>
              <w:rPr>
                <w:rFonts w:hint="eastAsia"/>
                <w:lang w:val="en-US" w:eastAsia="zh-CN"/>
              </w:rPr>
            </w:pPr>
            <w:r>
              <w:rPr>
                <w:rFonts w:hint="eastAsia"/>
                <w:lang w:val="en-US" w:eastAsia="zh-CN"/>
              </w:rPr>
              <w:t>2、响应文件递交截止时间前近3个月的任意1个月的依法缴纳税收凭证；或委托他人缴纳的委托代办协议和响应文件递交截止时间前近3个月的任意1个月的缴纳证明（收据复印件）；或法定征收机关出具的依法免缴税收的证明原件。</w:t>
            </w:r>
          </w:p>
          <w:p w14:paraId="67333ABC">
            <w:pPr>
              <w:rPr>
                <w:rFonts w:hint="default"/>
                <w:lang w:val="en-US" w:eastAsia="zh-CN"/>
              </w:rPr>
            </w:pPr>
            <w:r>
              <w:rPr>
                <w:rFonts w:hint="eastAsia"/>
                <w:lang w:val="en-US" w:eastAsia="zh-CN"/>
              </w:rPr>
              <w:t>3、响应文件递交截止时间前近3个月的任意1个月的缴纳社会保障资金凭证；或委托他人缴纳的委托代办协议和响应文件递交截止时间前近3个月的任意1个月的缴纳证明（收据复印件）；或法定征收机关出具的依法免缴保险费的证明原件。</w:t>
            </w:r>
          </w:p>
          <w:p w14:paraId="76CBB108">
            <w:pPr>
              <w:rPr>
                <w:rFonts w:hint="eastAsia"/>
                <w:lang w:eastAsia="zh-CN"/>
              </w:rPr>
            </w:pPr>
            <w:r>
              <w:rPr>
                <w:rFonts w:hint="eastAsia"/>
                <w:lang w:val="en-US" w:eastAsia="zh-CN"/>
              </w:rPr>
              <w:t>4、</w:t>
            </w:r>
            <w:r>
              <w:rPr>
                <w:rFonts w:hint="eastAsia"/>
              </w:rPr>
              <w:t>投标人提供</w:t>
            </w:r>
            <w:r>
              <w:rPr>
                <w:rFonts w:hint="eastAsia"/>
                <w:lang w:eastAsia="zh-CN"/>
              </w:rPr>
              <w:t>相关证明材料及</w:t>
            </w:r>
            <w:r>
              <w:rPr>
                <w:rFonts w:hint="eastAsia"/>
              </w:rPr>
              <w:t>诚信声明</w:t>
            </w:r>
            <w:r>
              <w:rPr>
                <w:rFonts w:hint="eastAsia"/>
                <w:lang w:eastAsia="zh-CN"/>
              </w:rPr>
              <w:t>等</w:t>
            </w:r>
          </w:p>
        </w:tc>
      </w:tr>
      <w:tr w14:paraId="71B3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810" w:type="dxa"/>
            <w:vMerge w:val="continue"/>
            <w:tcBorders>
              <w:top w:val="nil"/>
              <w:left w:val="single" w:color="auto" w:sz="4" w:space="0"/>
              <w:bottom w:val="single" w:color="auto" w:sz="4" w:space="0"/>
              <w:right w:val="single" w:color="auto" w:sz="4" w:space="0"/>
            </w:tcBorders>
            <w:vAlign w:val="center"/>
          </w:tcPr>
          <w:p w14:paraId="7FB78953">
            <w:pPr>
              <w:jc w:val="center"/>
              <w:rPr>
                <w:rFonts w:hint="eastAsia"/>
              </w:rPr>
            </w:pPr>
          </w:p>
        </w:tc>
        <w:tc>
          <w:tcPr>
            <w:tcW w:w="670" w:type="dxa"/>
            <w:vMerge w:val="continue"/>
            <w:tcBorders>
              <w:left w:val="nil"/>
              <w:right w:val="single" w:color="auto" w:sz="4" w:space="0"/>
            </w:tcBorders>
            <w:vAlign w:val="center"/>
          </w:tcPr>
          <w:p w14:paraId="5B19BE5B">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6A40710F">
            <w:pPr>
              <w:rPr>
                <w:rFonts w:hint="eastAsia"/>
              </w:rPr>
            </w:pPr>
            <w:r>
              <w:rPr>
                <w:rFonts w:hint="eastAsia"/>
              </w:rPr>
              <w:t>（2）具有良好的商业信誉和健全的财务会计制度</w:t>
            </w:r>
          </w:p>
        </w:tc>
        <w:tc>
          <w:tcPr>
            <w:tcW w:w="3120" w:type="dxa"/>
            <w:vMerge w:val="continue"/>
            <w:tcBorders>
              <w:left w:val="nil"/>
              <w:right w:val="single" w:color="auto" w:sz="4" w:space="0"/>
            </w:tcBorders>
            <w:vAlign w:val="center"/>
          </w:tcPr>
          <w:p w14:paraId="0855670D">
            <w:pPr>
              <w:ind w:firstLine="420" w:firstLineChars="200"/>
              <w:rPr>
                <w:rFonts w:hint="eastAsia"/>
                <w:lang w:eastAsia="zh-CN"/>
              </w:rPr>
            </w:pPr>
          </w:p>
        </w:tc>
      </w:tr>
      <w:tr w14:paraId="5C9C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810" w:type="dxa"/>
            <w:vMerge w:val="continue"/>
            <w:tcBorders>
              <w:top w:val="nil"/>
              <w:left w:val="single" w:color="auto" w:sz="4" w:space="0"/>
              <w:bottom w:val="single" w:color="auto" w:sz="4" w:space="0"/>
              <w:right w:val="single" w:color="auto" w:sz="4" w:space="0"/>
            </w:tcBorders>
            <w:vAlign w:val="center"/>
          </w:tcPr>
          <w:p w14:paraId="15F2A905">
            <w:pPr>
              <w:jc w:val="center"/>
              <w:rPr>
                <w:rFonts w:hint="eastAsia"/>
              </w:rPr>
            </w:pPr>
          </w:p>
        </w:tc>
        <w:tc>
          <w:tcPr>
            <w:tcW w:w="670" w:type="dxa"/>
            <w:vMerge w:val="continue"/>
            <w:tcBorders>
              <w:left w:val="nil"/>
              <w:right w:val="single" w:color="auto" w:sz="4" w:space="0"/>
            </w:tcBorders>
            <w:vAlign w:val="center"/>
          </w:tcPr>
          <w:p w14:paraId="4D50C88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07CA0846">
            <w:pPr>
              <w:rPr>
                <w:rFonts w:hint="eastAsia"/>
              </w:rPr>
            </w:pPr>
            <w:r>
              <w:rPr>
                <w:rFonts w:hint="eastAsia"/>
              </w:rPr>
              <w:t>（3）有依法缴纳税收和社会保障金的良好记录</w:t>
            </w:r>
          </w:p>
        </w:tc>
        <w:tc>
          <w:tcPr>
            <w:tcW w:w="3120" w:type="dxa"/>
            <w:vMerge w:val="continue"/>
            <w:tcBorders>
              <w:left w:val="nil"/>
              <w:right w:val="single" w:color="auto" w:sz="4" w:space="0"/>
            </w:tcBorders>
            <w:vAlign w:val="center"/>
          </w:tcPr>
          <w:p w14:paraId="43D5C586">
            <w:pPr>
              <w:ind w:firstLine="420" w:firstLineChars="200"/>
              <w:rPr>
                <w:rFonts w:hint="eastAsia"/>
              </w:rPr>
            </w:pPr>
          </w:p>
        </w:tc>
      </w:tr>
      <w:tr w14:paraId="0F04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trPr>
        <w:tc>
          <w:tcPr>
            <w:tcW w:w="810" w:type="dxa"/>
            <w:vMerge w:val="continue"/>
            <w:tcBorders>
              <w:top w:val="nil"/>
              <w:left w:val="single" w:color="auto" w:sz="4" w:space="0"/>
              <w:bottom w:val="single" w:color="auto" w:sz="4" w:space="0"/>
              <w:right w:val="single" w:color="auto" w:sz="4" w:space="0"/>
            </w:tcBorders>
            <w:vAlign w:val="center"/>
          </w:tcPr>
          <w:p w14:paraId="54ED8E5A">
            <w:pPr>
              <w:jc w:val="center"/>
              <w:rPr>
                <w:rFonts w:hint="eastAsia"/>
              </w:rPr>
            </w:pPr>
          </w:p>
        </w:tc>
        <w:tc>
          <w:tcPr>
            <w:tcW w:w="670" w:type="dxa"/>
            <w:vMerge w:val="continue"/>
            <w:tcBorders>
              <w:left w:val="nil"/>
              <w:right w:val="single" w:color="auto" w:sz="4" w:space="0"/>
            </w:tcBorders>
            <w:vAlign w:val="center"/>
          </w:tcPr>
          <w:p w14:paraId="3E4CE104">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334D79A6">
            <w:pPr>
              <w:rPr>
                <w:rFonts w:hint="eastAsia"/>
              </w:rPr>
            </w:pPr>
            <w:r>
              <w:rPr>
                <w:rFonts w:hint="eastAsia"/>
              </w:rPr>
              <w:t>（4）具有履行合同所必需的设备和专业技术能力</w:t>
            </w:r>
          </w:p>
        </w:tc>
        <w:tc>
          <w:tcPr>
            <w:tcW w:w="3120" w:type="dxa"/>
            <w:vMerge w:val="continue"/>
            <w:tcBorders>
              <w:left w:val="nil"/>
              <w:right w:val="single" w:color="auto" w:sz="4" w:space="0"/>
            </w:tcBorders>
            <w:vAlign w:val="center"/>
          </w:tcPr>
          <w:p w14:paraId="5EEEF48E">
            <w:pPr>
              <w:ind w:firstLine="420" w:firstLineChars="200"/>
              <w:rPr>
                <w:rFonts w:hint="eastAsia"/>
              </w:rPr>
            </w:pPr>
          </w:p>
        </w:tc>
      </w:tr>
      <w:tr w14:paraId="51AC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4" w:hRule="atLeast"/>
        </w:trPr>
        <w:tc>
          <w:tcPr>
            <w:tcW w:w="810" w:type="dxa"/>
            <w:vMerge w:val="continue"/>
            <w:tcBorders>
              <w:top w:val="nil"/>
              <w:left w:val="single" w:color="auto" w:sz="4" w:space="0"/>
              <w:bottom w:val="single" w:color="auto" w:sz="4" w:space="0"/>
              <w:right w:val="single" w:color="auto" w:sz="4" w:space="0"/>
            </w:tcBorders>
            <w:vAlign w:val="center"/>
          </w:tcPr>
          <w:p w14:paraId="609DBD0F">
            <w:pPr>
              <w:jc w:val="center"/>
              <w:rPr>
                <w:rFonts w:hint="eastAsia"/>
              </w:rPr>
            </w:pPr>
          </w:p>
        </w:tc>
        <w:tc>
          <w:tcPr>
            <w:tcW w:w="670" w:type="dxa"/>
            <w:vMerge w:val="continue"/>
            <w:tcBorders>
              <w:left w:val="nil"/>
              <w:right w:val="single" w:color="auto" w:sz="4" w:space="0"/>
            </w:tcBorders>
            <w:vAlign w:val="center"/>
          </w:tcPr>
          <w:p w14:paraId="6E2F0E4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0254B7FF">
            <w:pPr>
              <w:rPr>
                <w:rFonts w:hint="eastAsia"/>
              </w:rPr>
            </w:pPr>
            <w:r>
              <w:rPr>
                <w:rFonts w:hint="eastAsia"/>
              </w:rPr>
              <w:t>（5）参加政府采购活动三年内，在经营活动中没有重大违法记录</w:t>
            </w:r>
          </w:p>
        </w:tc>
        <w:tc>
          <w:tcPr>
            <w:tcW w:w="3120" w:type="dxa"/>
            <w:vMerge w:val="restart"/>
            <w:tcBorders>
              <w:left w:val="nil"/>
              <w:right w:val="single" w:color="auto" w:sz="4" w:space="0"/>
            </w:tcBorders>
            <w:vAlign w:val="center"/>
          </w:tcPr>
          <w:p w14:paraId="0189910C">
            <w:pPr>
              <w:rPr>
                <w:rFonts w:hint="eastAsia"/>
              </w:rPr>
            </w:pPr>
            <w:r>
              <w:rPr>
                <w:rFonts w:hint="eastAsia"/>
                <w:lang w:val="en-US" w:eastAsia="zh-CN"/>
              </w:rPr>
              <w:t>1、</w:t>
            </w:r>
            <w:r>
              <w:rPr>
                <w:rFonts w:hint="eastAsia"/>
              </w:rPr>
              <w:t>未被“信用中国”网站列入失信被执行人和重大税收违法案件当事人名单、未被“中国政府采购网”网站列入政府采购严重违法失信行为记录名单（处罚期限尚未届满的）</w:t>
            </w:r>
          </w:p>
          <w:p w14:paraId="77A3389A">
            <w:pPr>
              <w:rPr>
                <w:rFonts w:hint="eastAsia"/>
                <w:lang w:val="en-US" w:eastAsia="zh-CN"/>
              </w:rPr>
            </w:pPr>
            <w:r>
              <w:rPr>
                <w:rFonts w:hint="eastAsia"/>
                <w:lang w:val="en-US" w:eastAsia="zh-CN"/>
              </w:rPr>
              <w:t>2、提供2024年度经第三方会计师事务所（或审计机构）审计的财务报告；或提供2024年度的资产负债表（12月31日）、利润表（全年）、现金流量表（全年）；或提供响应文件递交截止时间前银行出具的资信证明</w:t>
            </w:r>
          </w:p>
        </w:tc>
      </w:tr>
      <w:tr w14:paraId="40C7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810" w:type="dxa"/>
            <w:vMerge w:val="continue"/>
            <w:tcBorders>
              <w:top w:val="nil"/>
              <w:left w:val="single" w:color="auto" w:sz="4" w:space="0"/>
              <w:bottom w:val="single" w:color="auto" w:sz="4" w:space="0"/>
              <w:right w:val="single" w:color="auto" w:sz="4" w:space="0"/>
            </w:tcBorders>
            <w:vAlign w:val="center"/>
          </w:tcPr>
          <w:p w14:paraId="19EC5E61">
            <w:pPr>
              <w:jc w:val="center"/>
              <w:rPr>
                <w:rFonts w:hint="eastAsia"/>
              </w:rPr>
            </w:pPr>
          </w:p>
        </w:tc>
        <w:tc>
          <w:tcPr>
            <w:tcW w:w="670" w:type="dxa"/>
            <w:vMerge w:val="continue"/>
            <w:tcBorders>
              <w:left w:val="nil"/>
              <w:right w:val="single" w:color="auto" w:sz="4" w:space="0"/>
            </w:tcBorders>
            <w:vAlign w:val="center"/>
          </w:tcPr>
          <w:p w14:paraId="4849E22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295D50E7">
            <w:pPr>
              <w:rPr>
                <w:rFonts w:hint="eastAsi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供应商具有良好的商业信誉和健全的财务会计制度</w:t>
            </w:r>
          </w:p>
        </w:tc>
        <w:tc>
          <w:tcPr>
            <w:tcW w:w="3120" w:type="dxa"/>
            <w:vMerge w:val="continue"/>
            <w:tcBorders>
              <w:left w:val="nil"/>
              <w:bottom w:val="single" w:color="auto" w:sz="4" w:space="0"/>
              <w:right w:val="single" w:color="auto" w:sz="4" w:space="0"/>
            </w:tcBorders>
            <w:vAlign w:val="center"/>
          </w:tcPr>
          <w:p w14:paraId="12C1ACFA">
            <w:pPr>
              <w:rPr>
                <w:rFonts w:hint="eastAsia"/>
              </w:rPr>
            </w:pPr>
          </w:p>
        </w:tc>
      </w:tr>
      <w:tr w14:paraId="1AFE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0" w:type="dxa"/>
            <w:tcBorders>
              <w:top w:val="single" w:color="auto" w:sz="4" w:space="0"/>
              <w:left w:val="single" w:color="auto" w:sz="4" w:space="0"/>
              <w:bottom w:val="single" w:color="auto" w:sz="4" w:space="0"/>
              <w:right w:val="single" w:color="auto" w:sz="4" w:space="0"/>
            </w:tcBorders>
            <w:vAlign w:val="center"/>
          </w:tcPr>
          <w:p w14:paraId="17591269">
            <w:pPr>
              <w:jc w:val="center"/>
              <w:rPr>
                <w:rFonts w:hint="eastAsia"/>
                <w:lang w:val="en-US" w:eastAsia="zh-CN"/>
              </w:rPr>
            </w:pPr>
            <w:r>
              <w:rPr>
                <w:rFonts w:hint="eastAsia"/>
                <w:lang w:val="en-US" w:eastAsia="zh-CN"/>
              </w:rPr>
              <w:t>2</w:t>
            </w:r>
          </w:p>
        </w:tc>
        <w:tc>
          <w:tcPr>
            <w:tcW w:w="670" w:type="dxa"/>
            <w:vMerge w:val="continue"/>
            <w:tcBorders>
              <w:left w:val="nil"/>
              <w:right w:val="single" w:color="auto" w:sz="4" w:space="0"/>
            </w:tcBorders>
            <w:vAlign w:val="center"/>
          </w:tcPr>
          <w:p w14:paraId="1D8AB9B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single" w:color="auto" w:sz="4" w:space="0"/>
              <w:bottom w:val="single" w:color="auto" w:sz="4" w:space="0"/>
              <w:right w:val="single" w:color="auto" w:sz="4" w:space="0"/>
            </w:tcBorders>
            <w:vAlign w:val="center"/>
          </w:tcPr>
          <w:p w14:paraId="78BB700D">
            <w:pPr>
              <w:rPr>
                <w:rFonts w:hint="eastAsia"/>
              </w:rPr>
            </w:pPr>
            <w:r>
              <w:rPr>
                <w:rFonts w:hint="eastAsia"/>
              </w:rPr>
              <w:t>（</w:t>
            </w:r>
            <w:r>
              <w:rPr>
                <w:rFonts w:hint="eastAsia"/>
                <w:lang w:val="en-US" w:eastAsia="zh-CN"/>
              </w:rPr>
              <w:t>7</w:t>
            </w:r>
            <w:r>
              <w:rPr>
                <w:rFonts w:hint="eastAsia"/>
              </w:rPr>
              <w:t>）所需特定资质条件</w:t>
            </w:r>
          </w:p>
        </w:tc>
        <w:tc>
          <w:tcPr>
            <w:tcW w:w="3120" w:type="dxa"/>
            <w:tcBorders>
              <w:top w:val="single" w:color="auto" w:sz="4" w:space="0"/>
              <w:left w:val="nil"/>
              <w:bottom w:val="single" w:color="auto" w:sz="4" w:space="0"/>
              <w:right w:val="single" w:color="auto" w:sz="4" w:space="0"/>
            </w:tcBorders>
            <w:vAlign w:val="center"/>
          </w:tcPr>
          <w:p w14:paraId="76E663F0">
            <w:pPr>
              <w:rPr>
                <w:rFonts w:hint="eastAsia"/>
              </w:rPr>
            </w:pPr>
            <w:r>
              <w:rPr>
                <w:rFonts w:hint="eastAsia"/>
              </w:rPr>
              <w:t>证明材料的复印件（加盖公章）。</w:t>
            </w:r>
          </w:p>
        </w:tc>
      </w:tr>
      <w:tr w14:paraId="6F33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10" w:type="dxa"/>
            <w:tcBorders>
              <w:top w:val="single" w:color="auto" w:sz="4" w:space="0"/>
              <w:left w:val="single" w:color="auto" w:sz="4" w:space="0"/>
              <w:bottom w:val="single" w:color="auto" w:sz="4" w:space="0"/>
              <w:right w:val="single" w:color="auto" w:sz="4" w:space="0"/>
            </w:tcBorders>
            <w:vAlign w:val="center"/>
          </w:tcPr>
          <w:p w14:paraId="3AB2DE81">
            <w:pPr>
              <w:jc w:val="center"/>
              <w:rPr>
                <w:rFonts w:hint="eastAsia"/>
                <w:lang w:eastAsia="zh-CN"/>
              </w:rPr>
            </w:pPr>
            <w:r>
              <w:rPr>
                <w:rFonts w:hint="eastAsia"/>
                <w:lang w:val="en-US" w:eastAsia="zh-CN"/>
              </w:rPr>
              <w:t>3</w:t>
            </w:r>
          </w:p>
        </w:tc>
        <w:tc>
          <w:tcPr>
            <w:tcW w:w="670" w:type="dxa"/>
            <w:vMerge w:val="continue"/>
            <w:tcBorders>
              <w:left w:val="nil"/>
              <w:bottom w:val="single" w:color="auto" w:sz="4" w:space="0"/>
              <w:right w:val="single" w:color="auto" w:sz="4" w:space="0"/>
            </w:tcBorders>
            <w:vAlign w:val="center"/>
          </w:tcPr>
          <w:p w14:paraId="077BDFED">
            <w:pPr>
              <w:jc w:val="center"/>
              <w:rPr>
                <w:rFonts w:hint="eastAsia"/>
              </w:rPr>
            </w:pPr>
          </w:p>
        </w:tc>
        <w:tc>
          <w:tcPr>
            <w:tcW w:w="4355" w:type="dxa"/>
            <w:tcBorders>
              <w:top w:val="single" w:color="auto" w:sz="4" w:space="0"/>
              <w:left w:val="single" w:color="auto" w:sz="4" w:space="0"/>
              <w:bottom w:val="single" w:color="auto" w:sz="4" w:space="0"/>
              <w:right w:val="single" w:color="auto" w:sz="4" w:space="0"/>
            </w:tcBorders>
            <w:vAlign w:val="center"/>
          </w:tcPr>
          <w:p w14:paraId="2876C7D6">
            <w:pPr>
              <w:jc w:val="left"/>
              <w:rPr>
                <w:rFonts w:hint="eastAsia"/>
              </w:rPr>
            </w:pPr>
            <w:r>
              <w:rPr>
                <w:rFonts w:hint="eastAsia"/>
                <w:lang w:eastAsia="zh-CN"/>
              </w:rPr>
              <w:t>（</w:t>
            </w:r>
            <w:r>
              <w:rPr>
                <w:rFonts w:hint="eastAsia"/>
                <w:lang w:val="en-US" w:eastAsia="zh-CN"/>
              </w:rPr>
              <w:t>8</w:t>
            </w:r>
            <w:r>
              <w:rPr>
                <w:rFonts w:hint="eastAsia"/>
                <w:lang w:eastAsia="zh-CN"/>
              </w:rPr>
              <w:t>）</w:t>
            </w:r>
            <w:r>
              <w:rPr>
                <w:rFonts w:hint="eastAsia"/>
              </w:rPr>
              <w:t>投标保证金</w:t>
            </w:r>
          </w:p>
        </w:tc>
        <w:tc>
          <w:tcPr>
            <w:tcW w:w="3120" w:type="dxa"/>
            <w:tcBorders>
              <w:top w:val="single" w:color="auto" w:sz="4" w:space="0"/>
              <w:left w:val="nil"/>
              <w:bottom w:val="single" w:color="auto" w:sz="4" w:space="0"/>
              <w:right w:val="single" w:color="auto" w:sz="4" w:space="0"/>
            </w:tcBorders>
            <w:vAlign w:val="center"/>
          </w:tcPr>
          <w:p w14:paraId="7DE7B665">
            <w:pPr>
              <w:jc w:val="both"/>
              <w:rPr>
                <w:rFonts w:hint="eastAsia"/>
              </w:rPr>
            </w:pPr>
            <w:r>
              <w:rPr>
                <w:rFonts w:hint="eastAsia"/>
                <w:b/>
                <w:bCs/>
                <w:lang w:val="en-US" w:eastAsia="zh-CN"/>
              </w:rPr>
              <w:t>不收取</w:t>
            </w:r>
            <w:r>
              <w:rPr>
                <w:rFonts w:hint="eastAsia"/>
                <w:lang w:val="en-US" w:eastAsia="zh-CN"/>
              </w:rPr>
              <w:t>投标保证金</w:t>
            </w:r>
          </w:p>
        </w:tc>
      </w:tr>
    </w:tbl>
    <w:p w14:paraId="4B66C260">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sz w:val="32"/>
          <w:szCs w:val="32"/>
        </w:rPr>
        <w:t>2、符合性检查。依据</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文件的规定，从</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文件的有效性、完整性和对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文件的响应程度进行审查，以确定是否对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文件的实质性要求作出响应。符合性检查资料表如下：</w:t>
      </w:r>
    </w:p>
    <w:tbl>
      <w:tblPr>
        <w:tblStyle w:val="19"/>
        <w:tblW w:w="89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1830"/>
        <w:gridCol w:w="5370"/>
      </w:tblGrid>
      <w:tr w14:paraId="7470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05" w:type="dxa"/>
            <w:tcBorders>
              <w:top w:val="single" w:color="auto" w:sz="4" w:space="0"/>
              <w:left w:val="single" w:color="auto" w:sz="4" w:space="0"/>
              <w:bottom w:val="single" w:color="auto" w:sz="4" w:space="0"/>
              <w:right w:val="single" w:color="auto" w:sz="4" w:space="0"/>
            </w:tcBorders>
            <w:vAlign w:val="center"/>
          </w:tcPr>
          <w:p w14:paraId="23E4E565">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2895" w:type="dxa"/>
            <w:gridSpan w:val="2"/>
            <w:tcBorders>
              <w:top w:val="single" w:color="auto" w:sz="4" w:space="0"/>
              <w:left w:val="nil"/>
              <w:bottom w:val="single" w:color="auto" w:sz="4" w:space="0"/>
              <w:right w:val="single" w:color="auto" w:sz="4" w:space="0"/>
            </w:tcBorders>
            <w:vAlign w:val="center"/>
          </w:tcPr>
          <w:p w14:paraId="570E8BF2">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评审因素</w:t>
            </w:r>
          </w:p>
        </w:tc>
        <w:tc>
          <w:tcPr>
            <w:tcW w:w="5370" w:type="dxa"/>
            <w:tcBorders>
              <w:top w:val="single" w:color="auto" w:sz="4" w:space="0"/>
              <w:left w:val="nil"/>
              <w:bottom w:val="single" w:color="auto" w:sz="4" w:space="0"/>
              <w:right w:val="single" w:color="auto" w:sz="4" w:space="0"/>
            </w:tcBorders>
            <w:vAlign w:val="center"/>
          </w:tcPr>
          <w:p w14:paraId="62FC3B2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评审标准</w:t>
            </w:r>
          </w:p>
        </w:tc>
      </w:tr>
      <w:tr w14:paraId="5810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435B763E">
            <w:pPr>
              <w:jc w:val="center"/>
              <w:rPr>
                <w:rFonts w:hint="eastAsia"/>
              </w:rPr>
            </w:pPr>
            <w:r>
              <w:rPr>
                <w:rFonts w:hint="eastAsia"/>
              </w:rPr>
              <w:t>1</w:t>
            </w:r>
          </w:p>
        </w:tc>
        <w:tc>
          <w:tcPr>
            <w:tcW w:w="1065" w:type="dxa"/>
            <w:vMerge w:val="restart"/>
            <w:tcBorders>
              <w:top w:val="nil"/>
              <w:left w:val="nil"/>
              <w:bottom w:val="single" w:color="auto" w:sz="4" w:space="0"/>
              <w:right w:val="single" w:color="auto" w:sz="4" w:space="0"/>
            </w:tcBorders>
            <w:vAlign w:val="center"/>
          </w:tcPr>
          <w:p w14:paraId="56555570">
            <w:pPr>
              <w:jc w:val="center"/>
              <w:rPr>
                <w:rFonts w:hint="eastAsia"/>
              </w:rPr>
            </w:pPr>
            <w:r>
              <w:rPr>
                <w:rFonts w:hint="eastAsia"/>
              </w:rPr>
              <w:t>有</w:t>
            </w:r>
          </w:p>
          <w:p w14:paraId="080215B3">
            <w:pPr>
              <w:jc w:val="center"/>
              <w:rPr>
                <w:rFonts w:hint="eastAsia"/>
              </w:rPr>
            </w:pPr>
            <w:r>
              <w:rPr>
                <w:rFonts w:hint="eastAsia"/>
              </w:rPr>
              <w:t>效</w:t>
            </w:r>
          </w:p>
          <w:p w14:paraId="173FEFCE">
            <w:pPr>
              <w:jc w:val="center"/>
              <w:rPr>
                <w:rFonts w:hint="eastAsia"/>
              </w:rPr>
            </w:pPr>
            <w:r>
              <w:rPr>
                <w:rFonts w:hint="eastAsia"/>
              </w:rPr>
              <w:t>性</w:t>
            </w:r>
          </w:p>
          <w:p w14:paraId="4C3A6A55">
            <w:pPr>
              <w:jc w:val="center"/>
              <w:rPr>
                <w:rFonts w:hint="eastAsia"/>
              </w:rPr>
            </w:pPr>
            <w:r>
              <w:rPr>
                <w:rFonts w:hint="eastAsia"/>
              </w:rPr>
              <w:t>审</w:t>
            </w:r>
          </w:p>
          <w:p w14:paraId="15C3AC47">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14:paraId="3BBD02CD">
            <w:pPr>
              <w:rPr>
                <w:rFonts w:hint="eastAsia"/>
              </w:rPr>
            </w:pPr>
            <w:r>
              <w:rPr>
                <w:rFonts w:hint="eastAsia"/>
                <w:lang w:eastAsia="zh-CN"/>
              </w:rPr>
              <w:t>响应</w:t>
            </w:r>
            <w:r>
              <w:rPr>
                <w:rFonts w:hint="eastAsia"/>
              </w:rPr>
              <w:t>文件签署</w:t>
            </w:r>
          </w:p>
        </w:tc>
        <w:tc>
          <w:tcPr>
            <w:tcW w:w="5370" w:type="dxa"/>
            <w:tcBorders>
              <w:top w:val="single" w:color="auto" w:sz="4" w:space="0"/>
              <w:left w:val="nil"/>
              <w:bottom w:val="single" w:color="auto" w:sz="4" w:space="0"/>
              <w:right w:val="single" w:color="auto" w:sz="4" w:space="0"/>
            </w:tcBorders>
            <w:vAlign w:val="center"/>
          </w:tcPr>
          <w:p w14:paraId="5BDC1B65">
            <w:pPr>
              <w:rPr>
                <w:rFonts w:hint="eastAsia"/>
              </w:rPr>
            </w:pPr>
            <w:r>
              <w:rPr>
                <w:rFonts w:hint="eastAsia"/>
                <w:lang w:eastAsia="zh-CN"/>
              </w:rPr>
              <w:t>响应</w:t>
            </w:r>
            <w:r>
              <w:rPr>
                <w:rFonts w:hint="eastAsia"/>
              </w:rPr>
              <w:t>文件上法定代表人或其授权代表人的签字齐全。</w:t>
            </w:r>
          </w:p>
        </w:tc>
      </w:tr>
      <w:tr w14:paraId="0FCD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1290ECE1">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1A455721">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264FF865">
            <w:pPr>
              <w:rPr>
                <w:rFonts w:hint="eastAsia"/>
              </w:rPr>
            </w:pPr>
            <w:r>
              <w:rPr>
                <w:rFonts w:hint="eastAsia"/>
              </w:rPr>
              <w:t>法定代表人身份证明及授权委托书</w:t>
            </w:r>
          </w:p>
        </w:tc>
        <w:tc>
          <w:tcPr>
            <w:tcW w:w="5370" w:type="dxa"/>
            <w:tcBorders>
              <w:top w:val="single" w:color="auto" w:sz="4" w:space="0"/>
              <w:left w:val="nil"/>
              <w:bottom w:val="single" w:color="auto" w:sz="4" w:space="0"/>
              <w:right w:val="single" w:color="auto" w:sz="4" w:space="0"/>
            </w:tcBorders>
            <w:vAlign w:val="center"/>
          </w:tcPr>
          <w:p w14:paraId="394CD26F">
            <w:pPr>
              <w:rPr>
                <w:rFonts w:hint="eastAsia"/>
              </w:rPr>
            </w:pPr>
            <w:r>
              <w:rPr>
                <w:rFonts w:hint="eastAsia"/>
              </w:rPr>
              <w:t>法定代表人身份证明及授权委托书有效，符合</w:t>
            </w:r>
            <w:r>
              <w:rPr>
                <w:rFonts w:hint="eastAsia"/>
                <w:lang w:eastAsia="zh-CN"/>
              </w:rPr>
              <w:t>比选</w:t>
            </w:r>
            <w:r>
              <w:rPr>
                <w:rFonts w:hint="eastAsia"/>
              </w:rPr>
              <w:t>文件规定的格式且签章齐全。</w:t>
            </w:r>
          </w:p>
        </w:tc>
      </w:tr>
      <w:tr w14:paraId="7D15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4CFEAFD4">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140BD748">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0B696AE3">
            <w:pPr>
              <w:rPr>
                <w:rFonts w:hint="eastAsia"/>
              </w:rPr>
            </w:pPr>
            <w:r>
              <w:rPr>
                <w:rFonts w:hint="eastAsia"/>
              </w:rPr>
              <w:t>投标方案</w:t>
            </w:r>
          </w:p>
        </w:tc>
        <w:tc>
          <w:tcPr>
            <w:tcW w:w="5370" w:type="dxa"/>
            <w:tcBorders>
              <w:top w:val="single" w:color="auto" w:sz="4" w:space="0"/>
              <w:left w:val="nil"/>
              <w:bottom w:val="single" w:color="auto" w:sz="4" w:space="0"/>
              <w:right w:val="single" w:color="auto" w:sz="4" w:space="0"/>
            </w:tcBorders>
            <w:vAlign w:val="center"/>
          </w:tcPr>
          <w:p w14:paraId="492B20DA">
            <w:pPr>
              <w:rPr>
                <w:rFonts w:hint="eastAsia"/>
              </w:rPr>
            </w:pPr>
            <w:r>
              <w:rPr>
                <w:rFonts w:hint="eastAsia"/>
              </w:rPr>
              <w:t>只能有一个方案投标。</w:t>
            </w:r>
          </w:p>
        </w:tc>
      </w:tr>
      <w:tr w14:paraId="3351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4915B6E2">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728FA737">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75557EB7">
            <w:pPr>
              <w:rPr>
                <w:rFonts w:hint="eastAsia"/>
              </w:rPr>
            </w:pPr>
            <w:r>
              <w:rPr>
                <w:rFonts w:hint="eastAsia"/>
              </w:rPr>
              <w:t>报价唯一</w:t>
            </w:r>
          </w:p>
        </w:tc>
        <w:tc>
          <w:tcPr>
            <w:tcW w:w="5370" w:type="dxa"/>
            <w:tcBorders>
              <w:top w:val="single" w:color="auto" w:sz="4" w:space="0"/>
              <w:left w:val="nil"/>
              <w:bottom w:val="single" w:color="auto" w:sz="4" w:space="0"/>
              <w:right w:val="single" w:color="auto" w:sz="4" w:space="0"/>
            </w:tcBorders>
            <w:vAlign w:val="center"/>
          </w:tcPr>
          <w:p w14:paraId="1C44628B">
            <w:pPr>
              <w:rPr>
                <w:rFonts w:hint="eastAsia"/>
              </w:rPr>
            </w:pPr>
            <w:r>
              <w:rPr>
                <w:rFonts w:hint="eastAsia"/>
              </w:rPr>
              <w:t>只能在限价范围内报价，只能有一个有效报价，不得提交选择性报价。</w:t>
            </w:r>
          </w:p>
        </w:tc>
      </w:tr>
      <w:tr w14:paraId="5772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1BA40F28">
            <w:pPr>
              <w:jc w:val="center"/>
              <w:rPr>
                <w:rFonts w:hint="eastAsia"/>
              </w:rPr>
            </w:pPr>
            <w:r>
              <w:rPr>
                <w:rFonts w:hint="eastAsia"/>
              </w:rPr>
              <w:t>2</w:t>
            </w:r>
          </w:p>
        </w:tc>
        <w:tc>
          <w:tcPr>
            <w:tcW w:w="1065" w:type="dxa"/>
            <w:vMerge w:val="restart"/>
            <w:tcBorders>
              <w:top w:val="single" w:color="auto" w:sz="4" w:space="0"/>
              <w:left w:val="nil"/>
              <w:bottom w:val="single" w:color="auto" w:sz="4" w:space="0"/>
              <w:right w:val="single" w:color="auto" w:sz="4" w:space="0"/>
            </w:tcBorders>
            <w:vAlign w:val="center"/>
          </w:tcPr>
          <w:p w14:paraId="2D60C738">
            <w:pPr>
              <w:jc w:val="center"/>
              <w:rPr>
                <w:rFonts w:hint="eastAsia"/>
                <w:lang w:val="en-US" w:eastAsia="zh-CN"/>
              </w:rPr>
            </w:pPr>
            <w:r>
              <w:rPr>
                <w:rFonts w:hint="eastAsia"/>
                <w:lang w:val="en-US" w:eastAsia="zh-CN"/>
              </w:rPr>
              <w:t>完</w:t>
            </w:r>
          </w:p>
          <w:p w14:paraId="7B82C574">
            <w:pPr>
              <w:jc w:val="center"/>
              <w:rPr>
                <w:rFonts w:hint="eastAsia"/>
                <w:lang w:val="en-US" w:eastAsia="zh-CN"/>
              </w:rPr>
            </w:pPr>
            <w:r>
              <w:rPr>
                <w:rFonts w:hint="eastAsia"/>
                <w:lang w:val="en-US" w:eastAsia="zh-CN"/>
              </w:rPr>
              <w:t>整</w:t>
            </w:r>
          </w:p>
          <w:p w14:paraId="64999158">
            <w:pPr>
              <w:jc w:val="center"/>
              <w:rPr>
                <w:rFonts w:hint="eastAsia"/>
              </w:rPr>
            </w:pPr>
            <w:r>
              <w:rPr>
                <w:rFonts w:hint="eastAsia"/>
              </w:rPr>
              <w:t>性</w:t>
            </w:r>
          </w:p>
          <w:p w14:paraId="6F31D00A">
            <w:pPr>
              <w:jc w:val="center"/>
              <w:rPr>
                <w:rFonts w:hint="eastAsia"/>
              </w:rPr>
            </w:pPr>
            <w:r>
              <w:rPr>
                <w:rFonts w:hint="eastAsia"/>
              </w:rPr>
              <w:t>审</w:t>
            </w:r>
          </w:p>
          <w:p w14:paraId="77EC491A">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14:paraId="68BF9046">
            <w:pPr>
              <w:rPr>
                <w:rFonts w:hint="eastAsia"/>
              </w:rPr>
            </w:pPr>
            <w:r>
              <w:rPr>
                <w:rFonts w:hint="eastAsia"/>
                <w:lang w:eastAsia="zh-CN"/>
              </w:rPr>
              <w:t>响应</w:t>
            </w:r>
            <w:r>
              <w:rPr>
                <w:rFonts w:hint="eastAsia"/>
              </w:rPr>
              <w:t>文件份数</w:t>
            </w:r>
          </w:p>
        </w:tc>
        <w:tc>
          <w:tcPr>
            <w:tcW w:w="5370" w:type="dxa"/>
            <w:tcBorders>
              <w:top w:val="single" w:color="auto" w:sz="4" w:space="0"/>
              <w:left w:val="nil"/>
              <w:bottom w:val="single" w:color="auto" w:sz="4" w:space="0"/>
              <w:right w:val="single" w:color="auto" w:sz="4" w:space="0"/>
            </w:tcBorders>
            <w:vAlign w:val="center"/>
          </w:tcPr>
          <w:p w14:paraId="4C7CC89C">
            <w:pPr>
              <w:rPr>
                <w:rFonts w:hint="eastAsia"/>
              </w:rPr>
            </w:pPr>
            <w:r>
              <w:rPr>
                <w:rFonts w:hint="eastAsia"/>
                <w:lang w:eastAsia="zh-CN"/>
              </w:rPr>
              <w:t>响应</w:t>
            </w:r>
            <w:r>
              <w:rPr>
                <w:rFonts w:hint="eastAsia"/>
              </w:rPr>
              <w:t>文件正本、副本数量符合</w:t>
            </w:r>
            <w:r>
              <w:rPr>
                <w:rFonts w:hint="eastAsia"/>
                <w:lang w:eastAsia="zh-CN"/>
              </w:rPr>
              <w:t>比选</w:t>
            </w:r>
            <w:r>
              <w:rPr>
                <w:rFonts w:hint="eastAsia"/>
              </w:rPr>
              <w:t>文件要求。</w:t>
            </w:r>
          </w:p>
        </w:tc>
      </w:tr>
      <w:tr w14:paraId="4BFD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0B54A265">
            <w:pPr>
              <w:jc w:val="center"/>
              <w:rPr>
                <w:rFonts w:hint="eastAsia"/>
              </w:rPr>
            </w:pPr>
          </w:p>
        </w:tc>
        <w:tc>
          <w:tcPr>
            <w:tcW w:w="1065" w:type="dxa"/>
            <w:vMerge w:val="continue"/>
            <w:tcBorders>
              <w:left w:val="nil"/>
              <w:right w:val="single" w:color="auto" w:sz="4" w:space="0"/>
            </w:tcBorders>
            <w:vAlign w:val="top"/>
          </w:tcPr>
          <w:p w14:paraId="42696FA5">
            <w:pPr>
              <w:rPr>
                <w:rFonts w:hint="eastAsia"/>
                <w:lang w:val="en-US" w:eastAsia="zh-CN"/>
              </w:rPr>
            </w:pPr>
          </w:p>
        </w:tc>
        <w:tc>
          <w:tcPr>
            <w:tcW w:w="1830" w:type="dxa"/>
            <w:vMerge w:val="restart"/>
            <w:tcBorders>
              <w:top w:val="single" w:color="auto" w:sz="4" w:space="0"/>
              <w:left w:val="nil"/>
              <w:right w:val="single" w:color="auto" w:sz="4" w:space="0"/>
            </w:tcBorders>
            <w:vAlign w:val="center"/>
          </w:tcPr>
          <w:p w14:paraId="6886067A">
            <w:pPr>
              <w:rPr>
                <w:rFonts w:hint="default"/>
                <w:lang w:val="en-US" w:eastAsia="zh-CN"/>
              </w:rPr>
            </w:pPr>
            <w:r>
              <w:rPr>
                <w:rFonts w:hint="eastAsia"/>
                <w:lang w:val="en-US" w:eastAsia="zh-CN"/>
              </w:rPr>
              <w:t>响应内容</w:t>
            </w:r>
          </w:p>
        </w:tc>
        <w:tc>
          <w:tcPr>
            <w:tcW w:w="5370" w:type="dxa"/>
            <w:tcBorders>
              <w:top w:val="single" w:color="auto" w:sz="4" w:space="0"/>
              <w:left w:val="nil"/>
              <w:bottom w:val="single" w:color="auto" w:sz="4" w:space="0"/>
              <w:right w:val="single" w:color="auto" w:sz="4" w:space="0"/>
            </w:tcBorders>
            <w:vAlign w:val="center"/>
          </w:tcPr>
          <w:p w14:paraId="79A59362">
            <w:pPr>
              <w:rPr>
                <w:rFonts w:hint="eastAsia"/>
                <w:lang w:eastAsia="zh-CN"/>
              </w:rPr>
            </w:pPr>
            <w:r>
              <w:rPr>
                <w:rFonts w:hint="eastAsia"/>
              </w:rPr>
              <w:t>对</w:t>
            </w:r>
            <w:r>
              <w:rPr>
                <w:rFonts w:hint="eastAsia"/>
                <w:lang w:val="en-US" w:eastAsia="zh-CN"/>
              </w:rPr>
              <w:t>比选</w:t>
            </w:r>
            <w:r>
              <w:rPr>
                <w:rFonts w:hint="eastAsia"/>
              </w:rPr>
              <w:t>文件实质性条款及★条款响应程度</w:t>
            </w:r>
          </w:p>
        </w:tc>
      </w:tr>
      <w:tr w14:paraId="37E1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5BA03E49">
            <w:pPr>
              <w:jc w:val="center"/>
              <w:rPr>
                <w:rFonts w:hint="eastAsia"/>
              </w:rPr>
            </w:pPr>
          </w:p>
        </w:tc>
        <w:tc>
          <w:tcPr>
            <w:tcW w:w="1065" w:type="dxa"/>
            <w:vMerge w:val="continue"/>
            <w:tcBorders>
              <w:left w:val="nil"/>
              <w:right w:val="single" w:color="auto" w:sz="4" w:space="0"/>
            </w:tcBorders>
            <w:vAlign w:val="top"/>
          </w:tcPr>
          <w:p w14:paraId="6756000B">
            <w:pPr>
              <w:rPr>
                <w:rFonts w:hint="eastAsia"/>
                <w:lang w:val="en-US" w:eastAsia="zh-CN"/>
              </w:rPr>
            </w:pPr>
          </w:p>
        </w:tc>
        <w:tc>
          <w:tcPr>
            <w:tcW w:w="1830" w:type="dxa"/>
            <w:vMerge w:val="continue"/>
            <w:tcBorders>
              <w:left w:val="nil"/>
              <w:bottom w:val="single" w:color="auto" w:sz="4" w:space="0"/>
              <w:right w:val="single" w:color="auto" w:sz="4" w:space="0"/>
            </w:tcBorders>
            <w:vAlign w:val="center"/>
          </w:tcPr>
          <w:p w14:paraId="512094F3">
            <w:pPr>
              <w:rPr>
                <w:rFonts w:hint="eastAsia"/>
                <w:lang w:eastAsia="zh-CN"/>
              </w:rPr>
            </w:pPr>
          </w:p>
        </w:tc>
        <w:tc>
          <w:tcPr>
            <w:tcW w:w="5370" w:type="dxa"/>
            <w:tcBorders>
              <w:top w:val="single" w:color="auto" w:sz="4" w:space="0"/>
              <w:left w:val="nil"/>
              <w:bottom w:val="single" w:color="auto" w:sz="4" w:space="0"/>
              <w:right w:val="single" w:color="auto" w:sz="4" w:space="0"/>
            </w:tcBorders>
            <w:vAlign w:val="center"/>
          </w:tcPr>
          <w:p w14:paraId="0299C1D3">
            <w:pPr>
              <w:rPr>
                <w:rFonts w:hint="eastAsia"/>
                <w:lang w:eastAsia="zh-CN"/>
              </w:rPr>
            </w:pPr>
            <w:r>
              <w:rPr>
                <w:rFonts w:hint="eastAsia"/>
              </w:rPr>
              <w:t>其他实质性条款及★条款</w:t>
            </w:r>
          </w:p>
        </w:tc>
      </w:tr>
      <w:tr w14:paraId="3A7F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6BF8AE41">
            <w:pPr>
              <w:jc w:val="center"/>
              <w:rPr>
                <w:rFonts w:hint="eastAsia"/>
              </w:rPr>
            </w:pPr>
          </w:p>
        </w:tc>
        <w:tc>
          <w:tcPr>
            <w:tcW w:w="1065" w:type="dxa"/>
            <w:vMerge w:val="continue"/>
            <w:tcBorders>
              <w:top w:val="nil"/>
              <w:left w:val="nil"/>
              <w:bottom w:val="single" w:color="auto" w:sz="4" w:space="0"/>
              <w:right w:val="single" w:color="auto" w:sz="4" w:space="0"/>
            </w:tcBorders>
            <w:vAlign w:val="top"/>
          </w:tcPr>
          <w:p w14:paraId="4C954863">
            <w:pPr>
              <w:rPr>
                <w:rFonts w:hint="eastAsia"/>
              </w:rPr>
            </w:pPr>
          </w:p>
        </w:tc>
        <w:tc>
          <w:tcPr>
            <w:tcW w:w="1830" w:type="dxa"/>
            <w:tcBorders>
              <w:top w:val="single" w:color="auto" w:sz="4" w:space="0"/>
              <w:left w:val="nil"/>
              <w:bottom w:val="single" w:color="auto" w:sz="4" w:space="0"/>
              <w:right w:val="single" w:color="auto" w:sz="4" w:space="0"/>
            </w:tcBorders>
            <w:vAlign w:val="center"/>
          </w:tcPr>
          <w:p w14:paraId="61D393E7">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14:paraId="150E60E9">
            <w:pPr>
              <w:rPr>
                <w:rFonts w:hint="eastAsia"/>
              </w:rPr>
            </w:pPr>
            <w:r>
              <w:rPr>
                <w:rFonts w:hint="eastAsia"/>
                <w:lang w:eastAsia="zh-CN"/>
              </w:rPr>
              <w:t>响应</w:t>
            </w:r>
            <w:r>
              <w:rPr>
                <w:rFonts w:hint="eastAsia"/>
              </w:rPr>
              <w:t>文件内容齐全、无遗漏。</w:t>
            </w:r>
          </w:p>
        </w:tc>
      </w:tr>
      <w:tr w14:paraId="0384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3D0A7F34">
            <w:pPr>
              <w:jc w:val="center"/>
              <w:rPr>
                <w:rFonts w:hint="eastAsia"/>
              </w:rPr>
            </w:pPr>
            <w:r>
              <w:rPr>
                <w:rFonts w:hint="eastAsia"/>
              </w:rPr>
              <w:t>3</w:t>
            </w:r>
          </w:p>
        </w:tc>
        <w:tc>
          <w:tcPr>
            <w:tcW w:w="1065" w:type="dxa"/>
            <w:vMerge w:val="restart"/>
            <w:tcBorders>
              <w:top w:val="nil"/>
              <w:left w:val="nil"/>
              <w:bottom w:val="single" w:color="auto" w:sz="4" w:space="0"/>
              <w:right w:val="single" w:color="auto" w:sz="4" w:space="0"/>
            </w:tcBorders>
            <w:vAlign w:val="center"/>
          </w:tcPr>
          <w:p w14:paraId="74ABA77B">
            <w:pPr>
              <w:jc w:val="both"/>
              <w:rPr>
                <w:rFonts w:hint="eastAsia"/>
              </w:rPr>
            </w:pPr>
            <w:r>
              <w:rPr>
                <w:rFonts w:hint="eastAsia"/>
                <w:lang w:eastAsia="zh-CN"/>
              </w:rPr>
              <w:t>比选</w:t>
            </w:r>
            <w:r>
              <w:rPr>
                <w:rFonts w:hint="eastAsia"/>
              </w:rPr>
              <w:t>文件的响应程度审查</w:t>
            </w:r>
          </w:p>
        </w:tc>
        <w:tc>
          <w:tcPr>
            <w:tcW w:w="1830" w:type="dxa"/>
            <w:tcBorders>
              <w:top w:val="single" w:color="auto" w:sz="4" w:space="0"/>
              <w:left w:val="nil"/>
              <w:bottom w:val="single" w:color="auto" w:sz="4" w:space="0"/>
              <w:right w:val="single" w:color="auto" w:sz="4" w:space="0"/>
            </w:tcBorders>
            <w:vAlign w:val="center"/>
          </w:tcPr>
          <w:p w14:paraId="42722548">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14:paraId="62695B2C">
            <w:pPr>
              <w:rPr>
                <w:rFonts w:hint="eastAsia"/>
              </w:rPr>
            </w:pPr>
            <w:r>
              <w:rPr>
                <w:rFonts w:hint="eastAsia"/>
              </w:rPr>
              <w:t>对</w:t>
            </w:r>
            <w:r>
              <w:rPr>
                <w:rFonts w:hint="eastAsia"/>
                <w:lang w:eastAsia="zh-CN"/>
              </w:rPr>
              <w:t>比选</w:t>
            </w:r>
            <w:r>
              <w:rPr>
                <w:rFonts w:hint="eastAsia"/>
              </w:rPr>
              <w:t>文件第一</w:t>
            </w:r>
            <w:r>
              <w:rPr>
                <w:rFonts w:hint="eastAsia"/>
                <w:lang w:eastAsia="zh-CN"/>
              </w:rPr>
              <w:t>章</w:t>
            </w:r>
            <w:r>
              <w:rPr>
                <w:rFonts w:hint="eastAsia"/>
              </w:rPr>
              <w:t>和第二</w:t>
            </w:r>
            <w:r>
              <w:rPr>
                <w:rFonts w:hint="eastAsia"/>
                <w:lang w:eastAsia="zh-CN"/>
              </w:rPr>
              <w:t>章</w:t>
            </w:r>
            <w:r>
              <w:rPr>
                <w:rFonts w:hint="eastAsia"/>
              </w:rPr>
              <w:t>规定的招标内容全部作出响应。</w:t>
            </w:r>
          </w:p>
        </w:tc>
      </w:tr>
      <w:tr w14:paraId="2F13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2F06F7FC">
            <w:pPr>
              <w:rPr>
                <w:rFonts w:hint="eastAsia"/>
              </w:rPr>
            </w:pPr>
          </w:p>
        </w:tc>
        <w:tc>
          <w:tcPr>
            <w:tcW w:w="1065" w:type="dxa"/>
            <w:vMerge w:val="continue"/>
            <w:tcBorders>
              <w:top w:val="nil"/>
              <w:left w:val="nil"/>
              <w:bottom w:val="single" w:color="auto" w:sz="4" w:space="0"/>
              <w:right w:val="single" w:color="auto" w:sz="4" w:space="0"/>
            </w:tcBorders>
            <w:vAlign w:val="center"/>
          </w:tcPr>
          <w:p w14:paraId="5EB88EC6">
            <w:pPr>
              <w:rPr>
                <w:rFonts w:hint="eastAsia"/>
              </w:rPr>
            </w:pPr>
          </w:p>
        </w:tc>
        <w:tc>
          <w:tcPr>
            <w:tcW w:w="1830" w:type="dxa"/>
            <w:tcBorders>
              <w:top w:val="single" w:color="auto" w:sz="4" w:space="0"/>
              <w:left w:val="nil"/>
              <w:bottom w:val="single" w:color="auto" w:sz="4" w:space="0"/>
              <w:right w:val="single" w:color="auto" w:sz="4" w:space="0"/>
            </w:tcBorders>
            <w:vAlign w:val="center"/>
          </w:tcPr>
          <w:p w14:paraId="2CE8C387">
            <w:pPr>
              <w:rPr>
                <w:rFonts w:hint="eastAsia"/>
              </w:rPr>
            </w:pPr>
            <w:r>
              <w:rPr>
                <w:rFonts w:hint="eastAsia"/>
              </w:rPr>
              <w:t>投标有效期</w:t>
            </w:r>
          </w:p>
        </w:tc>
        <w:tc>
          <w:tcPr>
            <w:tcW w:w="5370" w:type="dxa"/>
            <w:tcBorders>
              <w:top w:val="single" w:color="auto" w:sz="4" w:space="0"/>
              <w:left w:val="nil"/>
              <w:bottom w:val="single" w:color="auto" w:sz="4" w:space="0"/>
              <w:right w:val="single" w:color="auto" w:sz="4" w:space="0"/>
            </w:tcBorders>
            <w:vAlign w:val="center"/>
          </w:tcPr>
          <w:p w14:paraId="4A3153FF">
            <w:pPr>
              <w:rPr>
                <w:rFonts w:hint="eastAsia"/>
              </w:rPr>
            </w:pPr>
            <w:r>
              <w:rPr>
                <w:rFonts w:hint="eastAsia"/>
              </w:rPr>
              <w:t>满足</w:t>
            </w:r>
            <w:r>
              <w:rPr>
                <w:rFonts w:hint="eastAsia"/>
                <w:lang w:eastAsia="zh-CN"/>
              </w:rPr>
              <w:t>比选</w:t>
            </w:r>
            <w:r>
              <w:rPr>
                <w:rFonts w:hint="eastAsia"/>
              </w:rPr>
              <w:t>文件规定</w:t>
            </w:r>
            <w:r>
              <w:rPr>
                <w:rFonts w:hint="eastAsia"/>
                <w:lang w:eastAsia="zh-CN"/>
              </w:rPr>
              <w:t>（投标有效期：</w:t>
            </w:r>
            <w:r>
              <w:rPr>
                <w:rFonts w:hint="eastAsia"/>
                <w:u w:val="single"/>
                <w:lang w:val="en-US" w:eastAsia="zh-CN"/>
              </w:rPr>
              <w:t>90天</w:t>
            </w:r>
            <w:r>
              <w:rPr>
                <w:rFonts w:hint="eastAsia"/>
                <w:lang w:eastAsia="zh-CN"/>
              </w:rPr>
              <w:t>）</w:t>
            </w:r>
            <w:r>
              <w:rPr>
                <w:rFonts w:hint="eastAsia"/>
              </w:rPr>
              <w:t>。</w:t>
            </w:r>
          </w:p>
        </w:tc>
      </w:tr>
    </w:tbl>
    <w:p w14:paraId="3D210C23">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3、澄清有关问题。对</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文件的范围或者改变</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文件的实质性内容。</w:t>
      </w:r>
    </w:p>
    <w:p w14:paraId="76BFC655">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4、比较与评价。按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文件中规定的评标方法和标准，对资格性检查和符合性检查合格的</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14:paraId="786B08E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5、推荐中标候选人名单。按评审后得分由高到低的排列顺序推荐综合得分排名前三的投标人为本采购的中标候选人，排名第一的为第一中标候选人。若综合得分相同的，按投标报价由低到高顺序排列；若综合得分且投标报价相同的，按技术指标优劣顺序排列</w:t>
      </w:r>
      <w:r>
        <w:rPr>
          <w:rFonts w:hint="eastAsia" w:ascii="方正仿宋_GB2312" w:hAnsi="方正仿宋_GB2312" w:eastAsia="方正仿宋_GB2312" w:cs="方正仿宋_GB2312"/>
          <w:color w:val="auto"/>
          <w:sz w:val="32"/>
          <w:szCs w:val="32"/>
          <w:lang w:eastAsia="zh-CN"/>
        </w:rPr>
        <w:t>；所有得分均相同的，</w:t>
      </w:r>
      <w:r>
        <w:rPr>
          <w:rFonts w:hint="eastAsia" w:ascii="方正仿宋_GB2312" w:hAnsi="方正仿宋_GB2312" w:eastAsia="方正仿宋_GB2312" w:cs="方正仿宋_GB2312"/>
          <w:color w:val="auto"/>
          <w:sz w:val="32"/>
          <w:szCs w:val="32"/>
        </w:rPr>
        <w:t>采取抽签的形式确定中标人。</w:t>
      </w:r>
      <w:bookmarkStart w:id="11" w:name="_Toc467675507"/>
      <w:bookmarkEnd w:id="11"/>
      <w:bookmarkStart w:id="12" w:name="_Toc441065675"/>
      <w:bookmarkEnd w:id="12"/>
      <w:bookmarkStart w:id="13" w:name="_Toc267320057"/>
    </w:p>
    <w:p w14:paraId="55D9B64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6、资格性检查、符合性检查，任意一项为不合格的为不合格供应商，不进入综合评分。</w:t>
      </w:r>
    </w:p>
    <w:p w14:paraId="7088A41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（三）评标标准</w:t>
      </w:r>
      <w:bookmarkEnd w:id="13"/>
      <w:r>
        <w:rPr>
          <w:rFonts w:hint="eastAsia" w:ascii="方正仿宋_GB2312" w:hAnsi="方正仿宋_GB2312" w:eastAsia="方正仿宋_GB2312" w:cs="方正仿宋_GB2312"/>
          <w:b/>
          <w:bCs/>
          <w:color w:val="auto"/>
          <w:kern w:val="0"/>
          <w:sz w:val="32"/>
          <w:szCs w:val="32"/>
          <w:lang w:val="en-US" w:eastAsia="zh-CN" w:bidi="ar-SA"/>
        </w:rPr>
        <w:t>：</w:t>
      </w:r>
    </w:p>
    <w:p w14:paraId="5D0687BC">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ascii="宋体" w:hAnsi="宋体" w:eastAsia="宋体" w:cs="宋体"/>
          <w:color w:val="auto"/>
          <w:sz w:val="24"/>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权值</w:t>
      </w:r>
      <w:r>
        <w:rPr>
          <w:rFonts w:hint="eastAsia" w:ascii="方正仿宋_GB2312" w:hAnsi="方正仿宋_GB2312" w:eastAsia="方正仿宋_GB2312" w:cs="方正仿宋_GB2312"/>
          <w:color w:val="auto"/>
          <w:sz w:val="32"/>
          <w:szCs w:val="32"/>
          <w:lang w:val="en-US" w:eastAsia="zh-CN"/>
        </w:rPr>
        <w:t>的取值范围：</w:t>
      </w:r>
    </w:p>
    <w:tbl>
      <w:tblPr>
        <w:tblStyle w:val="20"/>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3058"/>
        <w:gridCol w:w="2911"/>
      </w:tblGrid>
      <w:tr w14:paraId="7119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46548E08">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3058" w:type="dxa"/>
            <w:vAlign w:val="center"/>
          </w:tcPr>
          <w:p w14:paraId="1C88F110">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项目</w:t>
            </w:r>
          </w:p>
        </w:tc>
        <w:tc>
          <w:tcPr>
            <w:tcW w:w="2911" w:type="dxa"/>
            <w:vAlign w:val="center"/>
          </w:tcPr>
          <w:p w14:paraId="1E94EFEA">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权值的取值</w:t>
            </w:r>
          </w:p>
        </w:tc>
      </w:tr>
      <w:tr w14:paraId="17C7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3D1DEDD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w:t>
            </w:r>
          </w:p>
        </w:tc>
        <w:tc>
          <w:tcPr>
            <w:tcW w:w="3058" w:type="dxa"/>
            <w:vAlign w:val="center"/>
          </w:tcPr>
          <w:p w14:paraId="3345A4B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价  格</w:t>
            </w:r>
          </w:p>
        </w:tc>
        <w:tc>
          <w:tcPr>
            <w:tcW w:w="2911" w:type="dxa"/>
            <w:vAlign w:val="center"/>
          </w:tcPr>
          <w:p w14:paraId="0050F15E">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15%</w:t>
            </w:r>
          </w:p>
        </w:tc>
      </w:tr>
      <w:tr w14:paraId="581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507FDD4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w:t>
            </w:r>
          </w:p>
        </w:tc>
        <w:tc>
          <w:tcPr>
            <w:tcW w:w="3058" w:type="dxa"/>
            <w:vAlign w:val="center"/>
          </w:tcPr>
          <w:p w14:paraId="7B356D32">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技  术</w:t>
            </w:r>
          </w:p>
        </w:tc>
        <w:tc>
          <w:tcPr>
            <w:tcW w:w="2911" w:type="dxa"/>
            <w:vAlign w:val="center"/>
          </w:tcPr>
          <w:p w14:paraId="70F8318F">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74%</w:t>
            </w:r>
          </w:p>
        </w:tc>
      </w:tr>
      <w:tr w14:paraId="7748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2F78AC3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w:t>
            </w:r>
          </w:p>
        </w:tc>
        <w:tc>
          <w:tcPr>
            <w:tcW w:w="3058" w:type="dxa"/>
            <w:vAlign w:val="center"/>
          </w:tcPr>
          <w:p w14:paraId="5CB0F603">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商  务</w:t>
            </w:r>
          </w:p>
        </w:tc>
        <w:tc>
          <w:tcPr>
            <w:tcW w:w="2911" w:type="dxa"/>
            <w:vAlign w:val="center"/>
          </w:tcPr>
          <w:p w14:paraId="1A66B23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11%</w:t>
            </w:r>
          </w:p>
        </w:tc>
      </w:tr>
      <w:tr w14:paraId="7BF8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0D043D11">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w:t>
            </w:r>
          </w:p>
        </w:tc>
        <w:tc>
          <w:tcPr>
            <w:tcW w:w="3058" w:type="dxa"/>
            <w:vAlign w:val="center"/>
          </w:tcPr>
          <w:p w14:paraId="60F67CD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其  他</w:t>
            </w:r>
          </w:p>
        </w:tc>
        <w:tc>
          <w:tcPr>
            <w:tcW w:w="2911" w:type="dxa"/>
            <w:vAlign w:val="center"/>
          </w:tcPr>
          <w:p w14:paraId="4E518EC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0%</w:t>
            </w:r>
          </w:p>
        </w:tc>
      </w:tr>
      <w:tr w14:paraId="39E8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4" w:type="dxa"/>
            <w:gridSpan w:val="2"/>
            <w:vAlign w:val="center"/>
          </w:tcPr>
          <w:p w14:paraId="33308E1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1+2+3+4</w:t>
            </w: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w:t>
            </w:r>
          </w:p>
        </w:tc>
        <w:tc>
          <w:tcPr>
            <w:tcW w:w="2911" w:type="dxa"/>
            <w:vAlign w:val="center"/>
          </w:tcPr>
          <w:p w14:paraId="3A8FFADF">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100%</w:t>
            </w:r>
          </w:p>
        </w:tc>
      </w:tr>
    </w:tbl>
    <w:p w14:paraId="4F92E4FB">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b/>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2、报价、技术、商务评审要求：</w:t>
      </w:r>
    </w:p>
    <w:tbl>
      <w:tblPr>
        <w:tblStyle w:val="19"/>
        <w:tblW w:w="8925"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253"/>
        <w:gridCol w:w="1207"/>
        <w:gridCol w:w="5858"/>
      </w:tblGrid>
      <w:tr w14:paraId="013F5B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607" w:type="dxa"/>
            <w:vAlign w:val="center"/>
          </w:tcPr>
          <w:p w14:paraId="22D0DD59">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253" w:type="dxa"/>
            <w:vAlign w:val="center"/>
          </w:tcPr>
          <w:p w14:paraId="6D237289">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w:t>
            </w:r>
          </w:p>
          <w:p w14:paraId="425EDADF">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因素</w:t>
            </w:r>
          </w:p>
        </w:tc>
        <w:tc>
          <w:tcPr>
            <w:tcW w:w="7065" w:type="dxa"/>
            <w:gridSpan w:val="2"/>
            <w:vAlign w:val="center"/>
          </w:tcPr>
          <w:p w14:paraId="0AE7072E">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评分标准</w:t>
            </w:r>
          </w:p>
        </w:tc>
      </w:tr>
      <w:tr w14:paraId="0C045E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607" w:type="dxa"/>
            <w:vAlign w:val="center"/>
          </w:tcPr>
          <w:p w14:paraId="585D728F">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253" w:type="dxa"/>
            <w:tcBorders>
              <w:right w:val="single" w:color="auto" w:sz="4" w:space="0"/>
            </w:tcBorders>
            <w:vAlign w:val="center"/>
          </w:tcPr>
          <w:p w14:paraId="7BB5A9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报价</w:t>
            </w:r>
          </w:p>
          <w:p w14:paraId="011BCE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（15分）</w:t>
            </w:r>
          </w:p>
        </w:tc>
        <w:tc>
          <w:tcPr>
            <w:tcW w:w="7065" w:type="dxa"/>
            <w:gridSpan w:val="2"/>
            <w:tcBorders>
              <w:left w:val="single" w:color="auto" w:sz="4" w:space="0"/>
              <w:bottom w:val="single" w:color="auto" w:sz="4" w:space="0"/>
            </w:tcBorders>
            <w:vAlign w:val="center"/>
          </w:tcPr>
          <w:p w14:paraId="5753711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以经评委会一致认定满足比选文件要求且投标价格经过扣除以后最低的评标价格为评标基准价，其价格得分计15分。其他投标人的价格得分统一按公式计算：报价得分=（评标基准价÷评标价格）×15</w:t>
            </w:r>
          </w:p>
          <w:p w14:paraId="78952285">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AB487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07" w:type="dxa"/>
            <w:vMerge w:val="restart"/>
            <w:vAlign w:val="center"/>
          </w:tcPr>
          <w:p w14:paraId="1FF9951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1253" w:type="dxa"/>
            <w:vMerge w:val="restart"/>
            <w:tcBorders>
              <w:right w:val="single" w:color="auto" w:sz="4" w:space="0"/>
            </w:tcBorders>
            <w:vAlign w:val="center"/>
          </w:tcPr>
          <w:p w14:paraId="495677F8">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p>
          <w:p w14:paraId="73B7A26C">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74</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vAlign w:val="center"/>
          </w:tcPr>
          <w:p w14:paraId="61E9F2A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采购需求响应度</w:t>
            </w:r>
          </w:p>
          <w:p w14:paraId="0B5371A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(44分)</w:t>
            </w:r>
          </w:p>
        </w:tc>
        <w:tc>
          <w:tcPr>
            <w:tcW w:w="5858" w:type="dxa"/>
            <w:tcBorders>
              <w:left w:val="single" w:color="auto" w:sz="4" w:space="0"/>
              <w:bottom w:val="single" w:color="auto" w:sz="4" w:space="0"/>
            </w:tcBorders>
            <w:vAlign w:val="center"/>
          </w:tcPr>
          <w:p w14:paraId="73CE45B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投标供应商对“第二章 采购需求”内容中“三 技术服务要求明细及商务要求”作出逐条响应（以供应商提供的采购需求响应/偏离表为准），完全满足比选文件要求的计44分；有缺项或对技术/服务要求条款有负偏离的，每条扣2分，扣完为止。</w:t>
            </w:r>
          </w:p>
        </w:tc>
      </w:tr>
      <w:tr w14:paraId="140F58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5" w:hRule="atLeast"/>
        </w:trPr>
        <w:tc>
          <w:tcPr>
            <w:tcW w:w="607" w:type="dxa"/>
            <w:vMerge w:val="continue"/>
            <w:vAlign w:val="center"/>
          </w:tcPr>
          <w:p w14:paraId="388560CC">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733AF82C">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084EF7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服务方案</w:t>
            </w:r>
          </w:p>
          <w:p w14:paraId="1E78959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（15分）</w:t>
            </w:r>
          </w:p>
        </w:tc>
        <w:tc>
          <w:tcPr>
            <w:tcW w:w="5858" w:type="dxa"/>
            <w:tcBorders>
              <w:left w:val="single" w:color="auto" w:sz="4" w:space="0"/>
              <w:bottom w:val="single" w:color="auto" w:sz="4" w:space="0"/>
            </w:tcBorders>
            <w:shd w:val="clear" w:color="auto" w:fill="auto"/>
            <w:vAlign w:val="center"/>
          </w:tcPr>
          <w:p w14:paraId="4587FE1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人针对本项目采购需求内容，编制详细的维保服务方案，包括但不限于①维保重难点分析、整体目标；②维保质量保障措施；③管理架构和人员配备安排；④维保进度计划及实施内容；⑤常见故障的处理措施、故障响应及安全作业保障措施等。</w:t>
            </w:r>
          </w:p>
          <w:p w14:paraId="038DC9D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维保服务方案横向综合比较，内容完整、针对性强、思路清晰，充分结合了实际情况，符合采购需求，具体措施完整可行的计15分。本评审因素分为5个子项，每一个子项的分值为3分；子项内容中每有一处不科学不合理或内容不完整或表述模糊不清的扣1.5分，单项扣完为止。未提供不得分。</w:t>
            </w:r>
          </w:p>
          <w:p w14:paraId="63FBF7C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不科学不合理或内容不完整或表述模糊不清的”是指方案内容非专门针对本项目或与项目需求没有关联性或不适用本项目的情形，内容不完整或缺少关键节点，套用其他项目方案，内容前后矛盾、涉及的规范及标准错误，存在歧义、错别字，内容混乱不充实等不利于项目实施、不可能实现的情况等任意一种情形。）</w:t>
            </w:r>
          </w:p>
        </w:tc>
      </w:tr>
      <w:tr w14:paraId="4C7E1D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607" w:type="dxa"/>
            <w:vMerge w:val="continue"/>
            <w:vAlign w:val="center"/>
          </w:tcPr>
          <w:p w14:paraId="6C2EE5EB">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51DF49AF">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2ACE59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应急预案</w:t>
            </w:r>
          </w:p>
          <w:p w14:paraId="220668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（15分）</w:t>
            </w:r>
          </w:p>
        </w:tc>
        <w:tc>
          <w:tcPr>
            <w:tcW w:w="5858" w:type="dxa"/>
            <w:tcBorders>
              <w:left w:val="single" w:color="auto" w:sz="4" w:space="0"/>
              <w:bottom w:val="single" w:color="auto" w:sz="4" w:space="0"/>
            </w:tcBorders>
            <w:shd w:val="clear" w:color="auto" w:fill="auto"/>
            <w:vAlign w:val="center"/>
          </w:tcPr>
          <w:p w14:paraId="53D4517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应急预案内容进行横向综合比较，包括但不仅限于①电梯故障及人员被困电梯的应急预案；②突发事件应急响应方案；③故障隐患防范措施；④维保过程中可能出现的突发状况应急措施；⑤应急演练方案等。</w:t>
            </w:r>
          </w:p>
          <w:p w14:paraId="322D0BD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应急预案方案横向综合比较，内容完整、针对性强、思路清晰，充分结合了实际情况，符合采购需求，具体措施完整可行的计15分。本评审因素分为5个子项，每一个子项的分值为3分；子项内容中每有一处不科学不合理或内容不完整或表述模糊不清的扣1分，单项扣完为止。未提供不得分。</w:t>
            </w:r>
          </w:p>
          <w:p w14:paraId="358EFF8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不科学不合理或内容不完整或表述模糊不清的”是指方案内容非专门针对本项目或与项目需求没有关联性或不适用本项目的情形，内容不完整或缺少关键节点，套用其他项目方案，内容前后矛盾、涉及的规范及标准错误，存在歧义、错别字，内容混乱不充实等不利于项目实施、不可能实现的情况等任意一种情形。）</w:t>
            </w:r>
          </w:p>
        </w:tc>
      </w:tr>
      <w:tr w14:paraId="488AD8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40" w:hRule="atLeast"/>
        </w:trPr>
        <w:tc>
          <w:tcPr>
            <w:tcW w:w="607" w:type="dxa"/>
            <w:vMerge w:val="restart"/>
            <w:vAlign w:val="center"/>
          </w:tcPr>
          <w:p w14:paraId="0DA88C16">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1253" w:type="dxa"/>
            <w:vMerge w:val="restart"/>
            <w:tcBorders>
              <w:right w:val="single" w:color="auto" w:sz="4" w:space="0"/>
            </w:tcBorders>
            <w:vAlign w:val="center"/>
          </w:tcPr>
          <w:p w14:paraId="348AFF88">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shd w:val="clear" w:color="auto" w:fill="auto"/>
            <w:vAlign w:val="center"/>
          </w:tcPr>
          <w:p w14:paraId="15128BB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类似业绩</w:t>
            </w:r>
          </w:p>
          <w:p w14:paraId="00513B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（8分）</w:t>
            </w:r>
          </w:p>
        </w:tc>
        <w:tc>
          <w:tcPr>
            <w:tcW w:w="5858" w:type="dxa"/>
            <w:tcBorders>
              <w:left w:val="single" w:color="auto" w:sz="4" w:space="0"/>
            </w:tcBorders>
            <w:shd w:val="clear" w:color="auto" w:fill="auto"/>
            <w:vAlign w:val="center"/>
          </w:tcPr>
          <w:p w14:paraId="6DB86701">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投标供应商提供本项目自2024年以来（以合同甲方签订时间为准）的类似电梯维保服务业绩，每提供一个业绩计4分，最多计8分，未提供的不计分。</w:t>
            </w:r>
          </w:p>
          <w:p w14:paraId="0CD1F43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（注：须提供销售业绩合同复印件或原件扫描件，加盖供应商公章，未提供的不得分）</w:t>
            </w:r>
          </w:p>
        </w:tc>
      </w:tr>
      <w:tr w14:paraId="3B7C4F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607" w:type="dxa"/>
            <w:vMerge w:val="continue"/>
            <w:vAlign w:val="center"/>
          </w:tcPr>
          <w:p w14:paraId="7F682422">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p>
        </w:tc>
        <w:tc>
          <w:tcPr>
            <w:tcW w:w="1253" w:type="dxa"/>
            <w:vMerge w:val="continue"/>
            <w:tcBorders>
              <w:right w:val="single" w:color="auto" w:sz="4" w:space="0"/>
            </w:tcBorders>
            <w:vAlign w:val="center"/>
          </w:tcPr>
          <w:p w14:paraId="1BB76E9A">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top w:val="single" w:color="auto" w:sz="4" w:space="0"/>
              <w:right w:val="single" w:color="auto" w:sz="4" w:space="0"/>
            </w:tcBorders>
            <w:vAlign w:val="center"/>
          </w:tcPr>
          <w:p w14:paraId="784BF8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投标文件编制</w:t>
            </w:r>
          </w:p>
          <w:p w14:paraId="0A85224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（3分）</w:t>
            </w:r>
          </w:p>
        </w:tc>
        <w:tc>
          <w:tcPr>
            <w:tcW w:w="5858" w:type="dxa"/>
            <w:tcBorders>
              <w:top w:val="single" w:color="auto" w:sz="4" w:space="0"/>
              <w:left w:val="single" w:color="auto" w:sz="4" w:space="0"/>
            </w:tcBorders>
            <w:vAlign w:val="center"/>
          </w:tcPr>
          <w:p w14:paraId="6E43432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投标响应文件按比选文件规定的格式、顺序编制，有目录、编页码，装订成册，书面完整无涂改，没有缺漏页、缺漏公章/签章/签名等，计3分；</w:t>
            </w:r>
          </w:p>
          <w:p w14:paraId="7FF84925">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投标文件制作不严谨、有欠缺的评委酌情扣分。</w:t>
            </w:r>
          </w:p>
        </w:tc>
      </w:tr>
      <w:tr w14:paraId="105E8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1860" w:type="dxa"/>
            <w:gridSpan w:val="2"/>
            <w:shd w:val="clear" w:color="auto" w:fill="auto"/>
            <w:vAlign w:val="center"/>
          </w:tcPr>
          <w:p w14:paraId="4E872B38">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合计</w:t>
            </w:r>
          </w:p>
        </w:tc>
        <w:tc>
          <w:tcPr>
            <w:tcW w:w="7065" w:type="dxa"/>
            <w:gridSpan w:val="2"/>
            <w:shd w:val="clear" w:color="auto" w:fill="auto"/>
            <w:vAlign w:val="center"/>
          </w:tcPr>
          <w:p w14:paraId="63599DA9">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100分</w:t>
            </w:r>
          </w:p>
        </w:tc>
      </w:tr>
      <w:tr w14:paraId="28469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925" w:type="dxa"/>
            <w:gridSpan w:val="4"/>
            <w:shd w:val="clear" w:color="auto" w:fill="auto"/>
            <w:vAlign w:val="center"/>
          </w:tcPr>
          <w:p w14:paraId="15A94EC3">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kern w:val="0"/>
                <w:szCs w:val="21"/>
                <w:lang w:val="en-US" w:eastAsia="zh-CN"/>
              </w:rPr>
            </w:pPr>
            <w:r>
              <w:rPr>
                <w:rFonts w:hint="eastAsia" w:hAnsi="宋体" w:cs="宋体"/>
                <w:b/>
                <w:bCs/>
                <w:color w:val="auto"/>
                <w:kern w:val="2"/>
                <w:sz w:val="21"/>
                <w:lang w:val="en-US" w:eastAsia="zh-CN"/>
              </w:rPr>
              <w:t>注：供应商提供的各项证明材料必须真实有效，若提供虚假材料骗取中标的，取消其中标资格并按照政府采购法的相关规定进行处置。</w:t>
            </w:r>
          </w:p>
        </w:tc>
      </w:tr>
    </w:tbl>
    <w:p w14:paraId="6750DDB4">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4" w:name="_Toc467675508"/>
      <w:bookmarkEnd w:id="14"/>
      <w:r>
        <w:rPr>
          <w:rFonts w:hint="eastAsia" w:ascii="方正仿宋_GB2312" w:hAnsi="方正仿宋_GB2312" w:eastAsia="方正仿宋_GB2312" w:cs="方正仿宋_GB2312"/>
          <w:b/>
          <w:bCs/>
          <w:color w:val="auto"/>
          <w:kern w:val="0"/>
          <w:sz w:val="32"/>
          <w:szCs w:val="32"/>
          <w:lang w:val="en-US" w:eastAsia="zh-CN" w:bidi="ar-SA"/>
        </w:rPr>
        <w:t>二、</w:t>
      </w:r>
      <w:bookmarkStart w:id="15" w:name="_Toc426705217"/>
      <w:bookmarkEnd w:id="15"/>
      <w:bookmarkStart w:id="16" w:name="_Toc364782679"/>
      <w:r>
        <w:rPr>
          <w:rFonts w:hint="eastAsia" w:ascii="方正仿宋_GB2312" w:hAnsi="方正仿宋_GB2312" w:eastAsia="方正仿宋_GB2312" w:cs="方正仿宋_GB2312"/>
          <w:b/>
          <w:bCs/>
          <w:color w:val="auto"/>
          <w:kern w:val="0"/>
          <w:sz w:val="32"/>
          <w:szCs w:val="32"/>
          <w:lang w:val="en-US" w:eastAsia="zh-CN" w:bidi="ar-SA"/>
        </w:rPr>
        <w:t>无效投标条款</w:t>
      </w:r>
      <w:bookmarkEnd w:id="16"/>
    </w:p>
    <w:p w14:paraId="17C46FC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评标委员会评审时，投标人或其</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文件出现下列情况之一者，应为无效投标：</w:t>
      </w:r>
    </w:p>
    <w:p w14:paraId="57F88A7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一</w:t>
      </w:r>
      <w:r>
        <w:rPr>
          <w:rFonts w:hint="eastAsia" w:ascii="方正仿宋_GB2312" w:hAnsi="方正仿宋_GB2312" w:eastAsia="方正仿宋_GB2312" w:cs="方正仿宋_GB2312"/>
          <w:color w:val="auto"/>
          <w:sz w:val="32"/>
          <w:szCs w:val="32"/>
        </w:rPr>
        <w:t>）投标人未通符合性检查的；</w:t>
      </w:r>
    </w:p>
    <w:p w14:paraId="264AA3B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二</w:t>
      </w:r>
      <w:r>
        <w:rPr>
          <w:rFonts w:hint="eastAsia" w:ascii="方正仿宋_GB2312" w:hAnsi="方正仿宋_GB2312" w:eastAsia="方正仿宋_GB2312" w:cs="方正仿宋_GB2312"/>
          <w:color w:val="auto"/>
          <w:sz w:val="32"/>
          <w:szCs w:val="32"/>
        </w:rPr>
        <w:t>）投标人超出其营业执照或事业单位法人证书上经营范围（业务范围）投标的；</w:t>
      </w:r>
    </w:p>
    <w:p w14:paraId="21E493A9">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三</w:t>
      </w:r>
      <w:r>
        <w:rPr>
          <w:rFonts w:hint="eastAsia" w:ascii="方正仿宋_GB2312" w:hAnsi="方正仿宋_GB2312" w:eastAsia="方正仿宋_GB2312" w:cs="方正仿宋_GB2312"/>
          <w:color w:val="auto"/>
          <w:sz w:val="32"/>
          <w:szCs w:val="32"/>
        </w:rPr>
        <w:t>）法定代表人为同一个人的两个及两个以上法人，母公司、全资子公司及其控股公司，在同一货物招标中同时投标的；</w:t>
      </w:r>
    </w:p>
    <w:p w14:paraId="647C1F72">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四</w:t>
      </w:r>
      <w:r>
        <w:rPr>
          <w:rFonts w:hint="eastAsia" w:ascii="方正仿宋_GB2312" w:hAnsi="方正仿宋_GB2312" w:eastAsia="方正仿宋_GB2312" w:cs="方正仿宋_GB2312"/>
          <w:color w:val="auto"/>
          <w:sz w:val="32"/>
          <w:szCs w:val="32"/>
        </w:rPr>
        <w:t>）投标产品不符合必须强制执行的国家标准的；</w:t>
      </w:r>
    </w:p>
    <w:p w14:paraId="65B4E49E">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五</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文件含有违反国家法律、法规的内容，或附有采购人不能接受的条件的</w:t>
      </w:r>
      <w:r>
        <w:rPr>
          <w:rFonts w:hint="eastAsia" w:ascii="方正仿宋_GB2312" w:hAnsi="方正仿宋_GB2312" w:eastAsia="方正仿宋_GB2312" w:cs="方正仿宋_GB2312"/>
          <w:color w:val="auto"/>
          <w:sz w:val="32"/>
          <w:szCs w:val="32"/>
          <w:lang w:eastAsia="zh-CN"/>
        </w:rPr>
        <w:t>；</w:t>
      </w:r>
    </w:p>
    <w:p w14:paraId="6CB039B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（六）响应文件未按照要求签署、盖章的；</w:t>
      </w:r>
    </w:p>
    <w:p w14:paraId="72C44CC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（七）响应文件未响应比选文件依法作出的其他规定的。</w:t>
      </w:r>
    </w:p>
    <w:p w14:paraId="03D28B3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bookmarkStart w:id="17" w:name="_Toc426705218"/>
      <w:bookmarkEnd w:id="17"/>
      <w:bookmarkStart w:id="18" w:name="_Toc467675509"/>
      <w:bookmarkEnd w:id="18"/>
      <w:r>
        <w:rPr>
          <w:rFonts w:hint="eastAsia" w:ascii="方正仿宋_GB2312" w:hAnsi="方正仿宋_GB2312" w:eastAsia="方正仿宋_GB2312" w:cs="方正仿宋_GB2312"/>
          <w:color w:val="auto"/>
          <w:sz w:val="32"/>
          <w:szCs w:val="32"/>
          <w:lang w:val="en-US" w:eastAsia="zh-CN"/>
        </w:rPr>
        <w:t>（八）</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文件逾期送达的或者未送达指定地点的；</w:t>
      </w:r>
    </w:p>
    <w:p w14:paraId="2DC21E8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（九）</w:t>
      </w:r>
      <w:r>
        <w:rPr>
          <w:rFonts w:hint="eastAsia" w:ascii="方正仿宋_GB2312" w:hAnsi="方正仿宋_GB2312" w:eastAsia="方正仿宋_GB2312" w:cs="方正仿宋_GB2312"/>
          <w:color w:val="auto"/>
          <w:sz w:val="32"/>
          <w:szCs w:val="32"/>
        </w:rPr>
        <w:t>投标人的法定代表人或委托代理人未按本次</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文件的要求参加评选会议的；</w:t>
      </w:r>
    </w:p>
    <w:p w14:paraId="44D00CBF">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w:t>
      </w:r>
      <w:r>
        <w:rPr>
          <w:rFonts w:hint="eastAsia" w:ascii="方正仿宋_GB2312" w:hAnsi="方正仿宋_GB2312" w:eastAsia="方正仿宋_GB2312" w:cs="方正仿宋_GB2312"/>
          <w:color w:val="auto"/>
          <w:sz w:val="32"/>
          <w:szCs w:val="32"/>
        </w:rPr>
        <w:t>投标人名称与资格审查投标申请人名称不一致的；</w:t>
      </w:r>
    </w:p>
    <w:p w14:paraId="47DA7E0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（十一）</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文件未按规定的格式和要求填写，内容不全或者关键内容字迹模糊、无法辨认的；</w:t>
      </w:r>
    </w:p>
    <w:p w14:paraId="504E6F7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（十二）</w:t>
      </w:r>
      <w:r>
        <w:rPr>
          <w:rFonts w:hint="eastAsia" w:ascii="方正仿宋_GB2312" w:hAnsi="方正仿宋_GB2312" w:eastAsia="方正仿宋_GB2312" w:cs="方正仿宋_GB2312"/>
          <w:color w:val="auto"/>
          <w:sz w:val="32"/>
          <w:szCs w:val="32"/>
        </w:rPr>
        <w:t>投标人同时提交两份或者多份内容不同的参选文件的；</w:t>
      </w:r>
    </w:p>
    <w:p w14:paraId="23363BC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文件附有投标人不能接受的条件的；</w:t>
      </w:r>
    </w:p>
    <w:p w14:paraId="169473A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（十四）</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文件中要求的参选文件的几个组成部分的任一部分被认定为无效的；</w:t>
      </w:r>
    </w:p>
    <w:p w14:paraId="6235397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（十五）</w:t>
      </w:r>
      <w:r>
        <w:rPr>
          <w:rFonts w:hint="eastAsia" w:ascii="方正仿宋_GB2312" w:hAnsi="方正仿宋_GB2312" w:eastAsia="方正仿宋_GB2312" w:cs="方正仿宋_GB2312"/>
          <w:color w:val="auto"/>
          <w:sz w:val="32"/>
          <w:szCs w:val="32"/>
        </w:rPr>
        <w:t>投标人未按评选委员会要求提供原件核验的；</w:t>
      </w:r>
    </w:p>
    <w:p w14:paraId="20F3DEF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（十六）</w:t>
      </w:r>
      <w:r>
        <w:rPr>
          <w:rFonts w:hint="eastAsia" w:ascii="方正仿宋_GB2312" w:hAnsi="方正仿宋_GB2312" w:eastAsia="方正仿宋_GB2312" w:cs="方正仿宋_GB2312"/>
          <w:color w:val="auto"/>
          <w:sz w:val="32"/>
          <w:szCs w:val="32"/>
        </w:rPr>
        <w:t>投标报价为手工填写的或报价超过</w:t>
      </w:r>
      <w:r>
        <w:rPr>
          <w:rFonts w:hint="eastAsia" w:ascii="方正仿宋_GB2312" w:hAnsi="方正仿宋_GB2312" w:eastAsia="方正仿宋_GB2312" w:cs="方正仿宋_GB2312"/>
          <w:color w:val="auto"/>
          <w:sz w:val="32"/>
          <w:szCs w:val="32"/>
          <w:lang w:val="en-US" w:eastAsia="zh-CN"/>
        </w:rPr>
        <w:t>预算金额</w:t>
      </w:r>
      <w:r>
        <w:rPr>
          <w:rFonts w:hint="eastAsia" w:ascii="方正仿宋_GB2312" w:hAnsi="方正仿宋_GB2312" w:eastAsia="方正仿宋_GB2312" w:cs="方正仿宋_GB2312"/>
          <w:color w:val="auto"/>
          <w:sz w:val="32"/>
          <w:szCs w:val="32"/>
        </w:rPr>
        <w:t>的；</w:t>
      </w:r>
    </w:p>
    <w:p w14:paraId="691FA4D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（十七）</w:t>
      </w:r>
      <w:r>
        <w:rPr>
          <w:rFonts w:hint="eastAsia" w:ascii="方正仿宋_GB2312" w:hAnsi="方正仿宋_GB2312" w:eastAsia="方正仿宋_GB2312" w:cs="方正仿宋_GB2312"/>
          <w:color w:val="auto"/>
          <w:sz w:val="32"/>
          <w:szCs w:val="32"/>
        </w:rPr>
        <w:t>清单单价×</w:t>
      </w:r>
      <w:r>
        <w:rPr>
          <w:rFonts w:hint="eastAsia" w:ascii="方正仿宋_GB2312" w:hAnsi="方正仿宋_GB2312" w:eastAsia="方正仿宋_GB2312" w:cs="方正仿宋_GB2312"/>
          <w:color w:val="auto"/>
          <w:sz w:val="32"/>
          <w:szCs w:val="32"/>
          <w:lang w:eastAsia="zh-CN"/>
        </w:rPr>
        <w:t>数量</w:t>
      </w:r>
      <w:r>
        <w:rPr>
          <w:rFonts w:hint="eastAsia" w:ascii="方正仿宋_GB2312" w:hAnsi="方正仿宋_GB2312" w:eastAsia="方正仿宋_GB2312" w:cs="方正仿宋_GB2312"/>
          <w:color w:val="auto"/>
          <w:sz w:val="32"/>
          <w:szCs w:val="32"/>
        </w:rPr>
        <w:t>的合计与报价函的总价不一致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计算错误的</w:t>
      </w:r>
      <w:r>
        <w:rPr>
          <w:rFonts w:hint="eastAsia" w:ascii="方正仿宋_GB2312" w:hAnsi="方正仿宋_GB2312" w:eastAsia="方正仿宋_GB2312" w:cs="方正仿宋_GB2312"/>
          <w:color w:val="auto"/>
          <w:sz w:val="32"/>
          <w:szCs w:val="32"/>
        </w:rPr>
        <w:t>；</w:t>
      </w:r>
    </w:p>
    <w:p w14:paraId="23107D0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（十八）</w:t>
      </w:r>
      <w:r>
        <w:rPr>
          <w:rFonts w:hint="eastAsia" w:ascii="方正仿宋_GB2312" w:hAnsi="方正仿宋_GB2312" w:eastAsia="方正仿宋_GB2312" w:cs="方正仿宋_GB2312"/>
          <w:color w:val="auto"/>
          <w:sz w:val="32"/>
          <w:szCs w:val="32"/>
        </w:rPr>
        <w:t>带“★”号的技术参数出现负偏离的；</w:t>
      </w:r>
    </w:p>
    <w:p w14:paraId="6B619FD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（十九）评审组一致认为应当废标的。</w:t>
      </w:r>
    </w:p>
    <w:p w14:paraId="3C2CE873">
      <w:pPr>
        <w:keepLines w:val="0"/>
        <w:pageBreakBefore w:val="0"/>
        <w:kinsoku/>
        <w:wordWrap/>
        <w:overflowPunct/>
        <w:topLinePunct w:val="0"/>
        <w:autoSpaceDE/>
        <w:autoSpaceDN/>
        <w:bidi w:val="0"/>
        <w:snapToGrid w:val="0"/>
        <w:spacing w:line="594" w:lineRule="exact"/>
        <w:ind w:firstLine="643" w:firstLineChars="200"/>
        <w:textAlignment w:val="auto"/>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bCs/>
          <w:color w:val="auto"/>
          <w:sz w:val="32"/>
          <w:szCs w:val="32"/>
          <w:lang w:val="en-US" w:eastAsia="zh-CN"/>
        </w:rPr>
        <w:t>若有效投标人只有2家，则按照评标程序继续组织评标；若有效投标人只有1家，则通过医院政府采购分管领导、纪委书记、院长、党委书记批准同意，改成与本次采购活动的唯一合格有效投标人进行院内谈判采</w:t>
      </w:r>
      <w:bookmarkStart w:id="21" w:name="_GoBack"/>
      <w:bookmarkEnd w:id="21"/>
      <w:r>
        <w:rPr>
          <w:rFonts w:hint="eastAsia" w:ascii="方正楷体_GB2312" w:hAnsi="方正楷体_GB2312" w:eastAsia="方正楷体_GB2312" w:cs="方正楷体_GB2312"/>
          <w:b/>
          <w:bCs/>
          <w:color w:val="auto"/>
          <w:sz w:val="32"/>
          <w:szCs w:val="32"/>
          <w:lang w:val="en-US" w:eastAsia="zh-CN"/>
        </w:rPr>
        <w:t>购，谈判相关的实质性条款以及内容以本次比选采购文件和投标响应文件内容为基础；或者终止本次采购活动重新开展采购。</w:t>
      </w:r>
    </w:p>
    <w:p w14:paraId="59E01DB7">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w:t>
      </w:r>
    </w:p>
    <w:p w14:paraId="29676870">
      <w:pPr>
        <w:pageBreakBefore w:val="0"/>
        <w:kinsoku/>
        <w:overflowPunct/>
        <w:topLinePunct w:val="0"/>
        <w:autoSpaceDE w:val="0"/>
        <w:autoSpaceDN w:val="0"/>
        <w:bidi w:val="0"/>
        <w:adjustRightInd w:val="0"/>
        <w:spacing w:line="594" w:lineRule="exact"/>
        <w:rPr>
          <w:rFonts w:hint="eastAsia" w:ascii="宋体" w:hAnsi="宋体"/>
          <w:bCs/>
          <w:color w:val="auto"/>
          <w:sz w:val="28"/>
          <w:szCs w:val="28"/>
        </w:rPr>
      </w:pPr>
      <w:r>
        <w:rPr>
          <w:rFonts w:hint="eastAsia" w:ascii="宋体" w:hAnsi="宋体"/>
          <w:bCs/>
          <w:color w:val="auto"/>
          <w:sz w:val="28"/>
          <w:szCs w:val="28"/>
        </w:rPr>
        <w:t xml:space="preserve"> </w:t>
      </w:r>
    </w:p>
    <w:p w14:paraId="4FE39A62">
      <w:pPr>
        <w:pageBreakBefore w:val="0"/>
        <w:numPr>
          <w:ilvl w:val="0"/>
          <w:numId w:val="0"/>
        </w:numPr>
        <w:kinsoku/>
        <w:overflowPunct/>
        <w:topLinePunct w:val="0"/>
        <w:bidi w:val="0"/>
        <w:spacing w:line="594" w:lineRule="exact"/>
        <w:jc w:val="center"/>
        <w:rPr>
          <w:rFonts w:hint="eastAsia" w:ascii="宋体" w:hAnsi="宋体"/>
          <w:color w:val="auto"/>
          <w:sz w:val="28"/>
          <w:szCs w:val="28"/>
        </w:rPr>
      </w:pPr>
      <w:r>
        <w:rPr>
          <w:rFonts w:hint="eastAsia" w:ascii="宋体" w:hAnsi="宋体"/>
          <w:color w:val="auto"/>
          <w:sz w:val="28"/>
          <w:szCs w:val="28"/>
        </w:rPr>
        <w:br w:type="page"/>
      </w:r>
    </w:p>
    <w:p w14:paraId="6B070A4D">
      <w:pPr>
        <w:pStyle w:val="10"/>
        <w:pageBreakBefore w:val="0"/>
        <w:kinsoku/>
        <w:overflowPunct/>
        <w:topLinePunct w:val="0"/>
        <w:bidi w:val="0"/>
        <w:adjustRightInd w:val="0"/>
        <w:snapToGrid w:val="0"/>
        <w:spacing w:line="594" w:lineRule="exact"/>
        <w:jc w:val="center"/>
        <w:outlineLvl w:val="0"/>
        <w:rPr>
          <w:rFonts w:hint="eastAsia" w:ascii="方正仿宋_GB2312" w:hAnsi="方正仿宋_GB2312" w:eastAsia="方正仿宋_GB2312" w:cs="方正仿宋_GB2312"/>
          <w:b/>
          <w:color w:val="auto"/>
          <w:sz w:val="36"/>
          <w:szCs w:val="36"/>
          <w:highlight w:val="none"/>
          <w:lang w:val="en-US" w:eastAsia="zh-CN"/>
        </w:rPr>
      </w:pPr>
      <w:r>
        <w:rPr>
          <w:rFonts w:hint="eastAsia" w:ascii="方正仿宋_GB2312" w:hAnsi="方正仿宋_GB2312" w:eastAsia="方正仿宋_GB2312" w:cs="方正仿宋_GB2312"/>
          <w:b/>
          <w:color w:val="auto"/>
          <w:sz w:val="36"/>
          <w:szCs w:val="36"/>
          <w:highlight w:val="none"/>
        </w:rPr>
        <w:t>第</w:t>
      </w:r>
      <w:r>
        <w:rPr>
          <w:rFonts w:hint="eastAsia" w:ascii="方正仿宋_GB2312" w:hAnsi="方正仿宋_GB2312" w:eastAsia="方正仿宋_GB2312" w:cs="方正仿宋_GB2312"/>
          <w:b/>
          <w:color w:val="auto"/>
          <w:sz w:val="36"/>
          <w:szCs w:val="36"/>
          <w:highlight w:val="none"/>
          <w:lang w:eastAsia="zh-CN"/>
        </w:rPr>
        <w:t>四</w:t>
      </w:r>
      <w:r>
        <w:rPr>
          <w:rFonts w:hint="eastAsia" w:ascii="方正仿宋_GB2312" w:hAnsi="方正仿宋_GB2312" w:eastAsia="方正仿宋_GB2312" w:cs="方正仿宋_GB2312"/>
          <w:b/>
          <w:color w:val="auto"/>
          <w:sz w:val="36"/>
          <w:szCs w:val="36"/>
          <w:highlight w:val="none"/>
        </w:rPr>
        <w:t>章 采购合同</w:t>
      </w:r>
      <w:r>
        <w:rPr>
          <w:rFonts w:hint="eastAsia" w:ascii="方正仿宋_GB2312" w:hAnsi="方正仿宋_GB2312" w:eastAsia="方正仿宋_GB2312" w:cs="方正仿宋_GB2312"/>
          <w:b/>
          <w:color w:val="auto"/>
          <w:sz w:val="36"/>
          <w:szCs w:val="36"/>
          <w:highlight w:val="none"/>
          <w:lang w:eastAsia="zh-CN"/>
        </w:rPr>
        <w:t>（</w:t>
      </w:r>
      <w:r>
        <w:rPr>
          <w:rFonts w:hint="eastAsia" w:ascii="方正仿宋_GB2312" w:hAnsi="方正仿宋_GB2312" w:eastAsia="方正仿宋_GB2312" w:cs="方正仿宋_GB2312"/>
          <w:b/>
          <w:color w:val="auto"/>
          <w:sz w:val="36"/>
          <w:szCs w:val="36"/>
          <w:highlight w:val="none"/>
          <w:lang w:val="en-US" w:eastAsia="zh-CN"/>
        </w:rPr>
        <w:t>格式</w:t>
      </w:r>
      <w:r>
        <w:rPr>
          <w:rFonts w:hint="eastAsia" w:ascii="方正仿宋_GB2312" w:hAnsi="方正仿宋_GB2312" w:eastAsia="方正仿宋_GB2312" w:cs="方正仿宋_GB2312"/>
          <w:b/>
          <w:color w:val="auto"/>
          <w:sz w:val="36"/>
          <w:szCs w:val="36"/>
          <w:highlight w:val="none"/>
          <w:lang w:eastAsia="zh-CN"/>
        </w:rPr>
        <w:t>）</w:t>
      </w:r>
    </w:p>
    <w:p w14:paraId="70AED002">
      <w:pPr>
        <w:pageBreakBefore w:val="0"/>
        <w:kinsoku/>
        <w:overflowPunct/>
        <w:topLinePunct w:val="0"/>
        <w:bidi w:val="0"/>
        <w:adjustRightInd w:val="0"/>
        <w:snapToGrid w:val="0"/>
        <w:spacing w:line="594" w:lineRule="exact"/>
        <w:jc w:val="center"/>
        <w:rPr>
          <w:rFonts w:hint="eastAsia" w:ascii="宋体"/>
          <w:color w:val="auto"/>
          <w:sz w:val="28"/>
          <w:szCs w:val="28"/>
        </w:rPr>
      </w:pPr>
      <w:r>
        <w:rPr>
          <w:rFonts w:hint="eastAsia" w:ascii="方正仿宋_GB2312" w:hAnsi="方正仿宋_GB2312" w:eastAsia="方正仿宋_GB2312" w:cs="方正仿宋_GB2312"/>
          <w:b/>
          <w:bCs/>
          <w:color w:val="auto"/>
          <w:sz w:val="32"/>
          <w:szCs w:val="32"/>
        </w:rPr>
        <w:t>采购合同格式条款</w:t>
      </w:r>
    </w:p>
    <w:p w14:paraId="24D42EE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宋体"/>
          <w:color w:val="auto"/>
          <w:sz w:val="28"/>
          <w:szCs w:val="28"/>
        </w:rPr>
        <w:t xml:space="preserve">            </w:t>
      </w:r>
      <w:r>
        <w:rPr>
          <w:rFonts w:hint="eastAsia" w:ascii="方正仿宋_GB2312" w:hAnsi="方正仿宋_GB2312" w:eastAsia="方正仿宋_GB2312" w:cs="方正仿宋_GB2312"/>
          <w:color w:val="auto"/>
          <w:sz w:val="28"/>
          <w:szCs w:val="28"/>
        </w:rPr>
        <w:t xml:space="preserve">                  采购合同编号：      </w:t>
      </w:r>
    </w:p>
    <w:p w14:paraId="37BF0EA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56B409B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rPr>
      </w:pPr>
      <w:r>
        <w:rPr>
          <w:rFonts w:hint="eastAsia" w:ascii="方正仿宋_GB2312" w:hAnsi="方正仿宋_GB2312" w:eastAsia="方正仿宋_GB2312" w:cs="方正仿宋_GB2312"/>
          <w:color w:val="auto"/>
          <w:sz w:val="28"/>
          <w:szCs w:val="28"/>
        </w:rPr>
        <w:t>采购人（全称）：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甲方）</w:t>
      </w:r>
    </w:p>
    <w:p w14:paraId="49BA08E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67F31D9">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217B4D84">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 w:val="0"/>
          <w:bCs/>
          <w:color w:val="auto"/>
          <w:sz w:val="28"/>
          <w:szCs w:val="28"/>
          <w:u w:val="none"/>
          <w:lang w:eastAsia="zh-CN"/>
        </w:rPr>
        <w:t>联系地址：</w:t>
      </w:r>
    </w:p>
    <w:p w14:paraId="38B6F25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rPr>
        <w:t>供应商（全称）：</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乙方）</w:t>
      </w:r>
    </w:p>
    <w:p w14:paraId="059C4172">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2024EBB">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347A7727">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val="0"/>
          <w:bCs/>
          <w:color w:val="auto"/>
          <w:sz w:val="28"/>
          <w:szCs w:val="28"/>
          <w:u w:val="none"/>
          <w:lang w:eastAsia="zh-CN"/>
        </w:rPr>
        <w:t>联系地址：</w:t>
      </w:r>
    </w:p>
    <w:p w14:paraId="661051A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p>
    <w:p w14:paraId="427D8916">
      <w:pPr>
        <w:pStyle w:val="14"/>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为了保护甲、乙双方合法权益，根据《中华人民共和国民法典》、《中华人民共和国政府采购法》及其他有关法律、法规、规章，双方签订本合同协议书。</w:t>
      </w:r>
    </w:p>
    <w:p w14:paraId="511643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一、</w:t>
      </w:r>
      <w:r>
        <w:rPr>
          <w:rFonts w:hint="eastAsia" w:ascii="方正仿宋_GB2312" w:hAnsi="方正仿宋_GB2312" w:eastAsia="方正仿宋_GB2312" w:cs="方正仿宋_GB2312"/>
          <w:b/>
          <w:bCs/>
          <w:color w:val="auto"/>
          <w:sz w:val="28"/>
          <w:szCs w:val="28"/>
        </w:rPr>
        <w:t>项目信息</w:t>
      </w:r>
      <w:r>
        <w:rPr>
          <w:rFonts w:hint="eastAsia" w:ascii="方正仿宋_GB2312" w:hAnsi="方正仿宋_GB2312" w:eastAsia="方正仿宋_GB2312" w:cs="方正仿宋_GB2312"/>
          <w:b/>
          <w:bCs/>
          <w:color w:val="auto"/>
          <w:sz w:val="28"/>
          <w:szCs w:val="28"/>
          <w:lang w:val="en-US" w:eastAsia="zh-CN"/>
        </w:rPr>
        <w:t>:</w:t>
      </w:r>
    </w:p>
    <w:p w14:paraId="15ECB2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（1）采购项目名称：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8FAA5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（2）采购计划编号：</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C7039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（3）项目内容：</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F436B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5F30F2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二、</w:t>
      </w:r>
      <w:r>
        <w:rPr>
          <w:rFonts w:hint="eastAsia" w:ascii="方正仿宋_GB2312" w:hAnsi="方正仿宋_GB2312" w:eastAsia="方正仿宋_GB2312" w:cs="方正仿宋_GB2312"/>
          <w:b/>
          <w:bCs/>
          <w:color w:val="auto"/>
          <w:sz w:val="28"/>
          <w:szCs w:val="28"/>
        </w:rPr>
        <w:t>合同金额</w:t>
      </w:r>
      <w:r>
        <w:rPr>
          <w:rFonts w:hint="eastAsia" w:ascii="方正仿宋_GB2312" w:hAnsi="方正仿宋_GB2312" w:eastAsia="方正仿宋_GB2312" w:cs="方正仿宋_GB2312"/>
          <w:b/>
          <w:bCs/>
          <w:color w:val="auto"/>
          <w:sz w:val="28"/>
          <w:szCs w:val="28"/>
          <w:lang w:val="en-US" w:eastAsia="zh-CN"/>
        </w:rPr>
        <w:t>:</w:t>
      </w:r>
    </w:p>
    <w:p w14:paraId="6602F9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（1）合同金额小写：</w:t>
      </w:r>
      <w:r>
        <w:rPr>
          <w:rFonts w:hint="eastAsia" w:ascii="方正仿宋_GB2312" w:hAnsi="方正仿宋_GB2312" w:eastAsia="方正仿宋_GB2312" w:cs="方正仿宋_GB2312"/>
          <w:color w:val="auto"/>
          <w:sz w:val="28"/>
          <w:szCs w:val="28"/>
          <w:u w:val="single"/>
        </w:rPr>
        <w:t xml:space="preserve">                      </w:t>
      </w:r>
    </w:p>
    <w:p w14:paraId="1EC22B3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 xml:space="preserve">     大</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写：</w:t>
      </w:r>
      <w:r>
        <w:rPr>
          <w:rFonts w:hint="eastAsia" w:ascii="方正仿宋_GB2312" w:hAnsi="方正仿宋_GB2312" w:eastAsia="方正仿宋_GB2312" w:cs="方正仿宋_GB2312"/>
          <w:color w:val="auto"/>
          <w:sz w:val="28"/>
          <w:szCs w:val="28"/>
          <w:u w:val="single"/>
        </w:rPr>
        <w:t xml:space="preserve">                      </w:t>
      </w:r>
    </w:p>
    <w:p w14:paraId="2904A52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（2）具体标的见附件。</w:t>
      </w:r>
    </w:p>
    <w:p w14:paraId="3EBA34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（3）合同价格形式：</w:t>
      </w:r>
      <w:r>
        <w:rPr>
          <w:rFonts w:hint="eastAsia" w:ascii="方正仿宋_GB2312" w:hAnsi="方正仿宋_GB2312" w:eastAsia="方正仿宋_GB2312" w:cs="方正仿宋_GB2312"/>
          <w:color w:val="auto"/>
          <w:sz w:val="28"/>
          <w:szCs w:val="28"/>
          <w:u w:val="single"/>
        </w:rPr>
        <w:t xml:space="preserve"> 固定总价合同 </w:t>
      </w:r>
      <w:r>
        <w:rPr>
          <w:rFonts w:hint="eastAsia" w:ascii="方正仿宋_GB2312" w:hAnsi="方正仿宋_GB2312" w:eastAsia="方正仿宋_GB2312" w:cs="方正仿宋_GB2312"/>
          <w:color w:val="auto"/>
          <w:sz w:val="28"/>
          <w:szCs w:val="28"/>
        </w:rPr>
        <w:t>。</w:t>
      </w:r>
    </w:p>
    <w:p w14:paraId="7792D6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三、</w:t>
      </w:r>
      <w:r>
        <w:rPr>
          <w:rFonts w:hint="eastAsia" w:ascii="方正仿宋_GB2312" w:hAnsi="方正仿宋_GB2312" w:eastAsia="方正仿宋_GB2312" w:cs="方正仿宋_GB2312"/>
          <w:b/>
          <w:bCs/>
          <w:color w:val="auto"/>
          <w:sz w:val="28"/>
          <w:szCs w:val="28"/>
        </w:rPr>
        <w:t xml:space="preserve">履行合同的时间、地点及方式 </w:t>
      </w:r>
      <w:r>
        <w:rPr>
          <w:rFonts w:hint="eastAsia" w:ascii="方正仿宋_GB2312" w:hAnsi="方正仿宋_GB2312" w:eastAsia="方正仿宋_GB2312" w:cs="方正仿宋_GB2312"/>
          <w:b/>
          <w:bCs/>
          <w:color w:val="auto"/>
          <w:sz w:val="28"/>
          <w:szCs w:val="28"/>
          <w:lang w:val="en-US" w:eastAsia="zh-CN"/>
        </w:rPr>
        <w:t>:</w:t>
      </w:r>
    </w:p>
    <w:p w14:paraId="2CBE435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起始日期：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日，完成日期：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 xml:space="preserve">    </w:t>
      </w:r>
    </w:p>
    <w:p w14:paraId="6161DDF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总日历天数：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天。</w:t>
      </w:r>
    </w:p>
    <w:p w14:paraId="13523BC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地点：</w:t>
      </w:r>
      <w:r>
        <w:rPr>
          <w:rFonts w:hint="eastAsia" w:ascii="方正仿宋_GB2312" w:hAnsi="方正仿宋_GB2312" w:eastAsia="方正仿宋_GB2312" w:cs="方正仿宋_GB2312"/>
          <w:color w:val="auto"/>
          <w:sz w:val="28"/>
          <w:szCs w:val="28"/>
          <w:u w:val="single"/>
        </w:rPr>
        <w:t xml:space="preserve">                            </w:t>
      </w:r>
    </w:p>
    <w:p w14:paraId="6E9AECF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F2311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6C11D7B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四、</w:t>
      </w:r>
      <w:r>
        <w:rPr>
          <w:rFonts w:hint="eastAsia" w:ascii="方正仿宋_GB2312" w:hAnsi="方正仿宋_GB2312" w:eastAsia="方正仿宋_GB2312" w:cs="方正仿宋_GB2312"/>
          <w:b/>
          <w:bCs/>
          <w:color w:val="auto"/>
          <w:sz w:val="28"/>
          <w:szCs w:val="28"/>
        </w:rPr>
        <w:t>付款方式：</w:t>
      </w:r>
    </w:p>
    <w:p w14:paraId="695456A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lang w:val="en-US" w:eastAsia="zh-CN"/>
        </w:rPr>
        <w:t>按季度支付电梯维保费，每季度支付合同总金额的25%。付款前，需提供正规发票、上季度电梯运行状态报告书，并保证所有电梯的正常良好运行。</w:t>
      </w:r>
    </w:p>
    <w:p w14:paraId="7D233653">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五、</w:t>
      </w:r>
      <w:r>
        <w:rPr>
          <w:rFonts w:hint="eastAsia" w:ascii="方正仿宋_GB2312" w:hAnsi="方正仿宋_GB2312" w:eastAsia="方正仿宋_GB2312" w:cs="方正仿宋_GB2312"/>
          <w:b/>
          <w:bCs/>
          <w:color w:val="auto"/>
          <w:sz w:val="28"/>
          <w:szCs w:val="28"/>
        </w:rPr>
        <w:t>质量要求</w:t>
      </w:r>
      <w:r>
        <w:rPr>
          <w:rFonts w:hint="eastAsia" w:ascii="方正仿宋_GB2312" w:hAnsi="方正仿宋_GB2312" w:eastAsia="方正仿宋_GB2312" w:cs="方正仿宋_GB2312"/>
          <w:b/>
          <w:bCs/>
          <w:color w:val="auto"/>
          <w:sz w:val="28"/>
          <w:szCs w:val="28"/>
          <w:lang w:val="en-US" w:eastAsia="zh-CN"/>
        </w:rPr>
        <w:t>:</w:t>
      </w:r>
    </w:p>
    <w:p w14:paraId="36A4032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2"/>
          <w:sz w:val="28"/>
          <w:szCs w:val="28"/>
          <w:lang w:val="en-US" w:eastAsia="zh-CN" w:bidi="ar-SA"/>
        </w:rPr>
        <w:t xml:space="preserve">乙方提供的服务必须是满足投标文件要求、符合国家及行业标准。乙方应向甲方提供该服务所需的所有完备材料资料。 </w:t>
      </w:r>
      <w:r>
        <w:rPr>
          <w:rFonts w:hint="eastAsia" w:ascii="方正仿宋_GB2312" w:hAnsi="方正仿宋_GB2312" w:eastAsia="方正仿宋_GB2312" w:cs="方正仿宋_GB2312"/>
          <w:color w:val="auto"/>
          <w:sz w:val="28"/>
          <w:szCs w:val="28"/>
        </w:rPr>
        <w:t xml:space="preserve"> </w:t>
      </w:r>
    </w:p>
    <w:p w14:paraId="2A61FD09">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6C8D436A">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六、</w:t>
      </w:r>
      <w:r>
        <w:rPr>
          <w:rFonts w:hint="eastAsia" w:ascii="方正仿宋_GB2312" w:hAnsi="方正仿宋_GB2312" w:eastAsia="方正仿宋_GB2312" w:cs="方正仿宋_GB2312"/>
          <w:b/>
          <w:bCs/>
          <w:color w:val="auto"/>
          <w:sz w:val="28"/>
          <w:szCs w:val="28"/>
          <w:lang w:eastAsia="zh-CN"/>
        </w:rPr>
        <w:t>验收：</w:t>
      </w:r>
    </w:p>
    <w:p w14:paraId="713CF0F2">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1、乙方完成</w:t>
      </w:r>
      <w:r>
        <w:rPr>
          <w:rFonts w:hint="eastAsia" w:ascii="方正仿宋_GB2312" w:hAnsi="方正仿宋_GB2312" w:eastAsia="方正仿宋_GB2312" w:cs="方正仿宋_GB2312"/>
          <w:color w:val="auto"/>
          <w:sz w:val="28"/>
          <w:szCs w:val="28"/>
          <w:lang w:val="en-US" w:eastAsia="zh-CN"/>
        </w:rPr>
        <w:t>维保服务后</w:t>
      </w:r>
      <w:r>
        <w:rPr>
          <w:rFonts w:hint="eastAsia" w:ascii="方正仿宋_GB2312" w:hAnsi="方正仿宋_GB2312" w:eastAsia="方正仿宋_GB2312" w:cs="方正仿宋_GB2312"/>
          <w:color w:val="auto"/>
          <w:sz w:val="28"/>
          <w:szCs w:val="28"/>
        </w:rPr>
        <w:t>，由甲方组织相关人员，</w:t>
      </w:r>
      <w:r>
        <w:rPr>
          <w:rFonts w:hint="eastAsia" w:ascii="方正仿宋_GB2312" w:hAnsi="方正仿宋_GB2312" w:eastAsia="方正仿宋_GB2312" w:cs="方正仿宋_GB2312"/>
          <w:color w:val="auto"/>
          <w:sz w:val="28"/>
          <w:szCs w:val="28"/>
          <w:lang w:eastAsia="zh-CN"/>
        </w:rPr>
        <w:t>会同乙方相关人员</w:t>
      </w:r>
      <w:r>
        <w:rPr>
          <w:rFonts w:hint="eastAsia" w:ascii="方正仿宋_GB2312" w:hAnsi="方正仿宋_GB2312" w:eastAsia="方正仿宋_GB2312" w:cs="方正仿宋_GB2312"/>
          <w:color w:val="auto"/>
          <w:sz w:val="28"/>
          <w:szCs w:val="28"/>
        </w:rPr>
        <w:t>按照招</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投标文件的条款内容进行验收。</w:t>
      </w:r>
    </w:p>
    <w:p w14:paraId="37A4C306">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2、验收地点：</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指定地点</w:t>
      </w:r>
    </w:p>
    <w:p w14:paraId="0B43B50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0ED150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七</w:t>
      </w:r>
      <w:r>
        <w:rPr>
          <w:rFonts w:hint="eastAsia" w:ascii="方正仿宋_GB2312" w:hAnsi="方正仿宋_GB2312" w:eastAsia="方正仿宋_GB2312" w:cs="方正仿宋_GB2312"/>
          <w:b/>
          <w:bCs/>
          <w:color w:val="auto"/>
          <w:sz w:val="28"/>
          <w:szCs w:val="28"/>
          <w:lang w:eastAsia="zh-CN"/>
        </w:rPr>
        <w:t>、双方职责</w:t>
      </w:r>
    </w:p>
    <w:p w14:paraId="5FC91E7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投标方在履行合同过程中应遵守法律和工程建设标准规范，并履行以下义务：</w:t>
      </w:r>
    </w:p>
    <w:p w14:paraId="4AD7052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（1）办理法律规定应由投标方办理的许可和批准，并将办理结果书面报送招标方留存；</w:t>
      </w:r>
    </w:p>
    <w:p w14:paraId="269561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（2）按法律规定和合同约定完成工程，并在保修期内承担保修义务；</w:t>
      </w:r>
    </w:p>
    <w:p w14:paraId="2AF2AD9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（3）按法律规定和合同约定采取施工安全和环境保护措施，办理工伤保险，确保工程及人员、材料、设备和设施的安全；</w:t>
      </w:r>
    </w:p>
    <w:p w14:paraId="74A188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（4）按合同约定的工作内容和施工进度要求，编制施工组织设计和施工措施计划，并对所有施工作业和施工方法的完备性和安全可靠性负责；</w:t>
      </w:r>
    </w:p>
    <w:p w14:paraId="59435CC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（5）在进行合同约定的各项工作时，不得</w:t>
      </w:r>
      <w:r>
        <w:rPr>
          <w:rFonts w:hint="eastAsia" w:ascii="方正仿宋_GB2312" w:hAnsi="方正仿宋_GB2312" w:eastAsia="方正仿宋_GB2312" w:cs="方正仿宋_GB2312"/>
          <w:b w:val="0"/>
          <w:bCs w:val="0"/>
          <w:color w:val="auto"/>
          <w:sz w:val="28"/>
          <w:szCs w:val="28"/>
          <w:lang w:val="en-US" w:eastAsia="zh-CN"/>
        </w:rPr>
        <w:t>损坏</w:t>
      </w:r>
      <w:r>
        <w:rPr>
          <w:rFonts w:hint="eastAsia" w:ascii="方正仿宋_GB2312" w:hAnsi="方正仿宋_GB2312" w:eastAsia="方正仿宋_GB2312" w:cs="方正仿宋_GB2312"/>
          <w:b w:val="0"/>
          <w:bCs w:val="0"/>
          <w:color w:val="auto"/>
          <w:sz w:val="28"/>
          <w:szCs w:val="28"/>
          <w:lang w:eastAsia="zh-CN"/>
        </w:rPr>
        <w:t>招标方</w:t>
      </w:r>
      <w:r>
        <w:rPr>
          <w:rFonts w:hint="eastAsia" w:ascii="方正仿宋_GB2312" w:hAnsi="方正仿宋_GB2312" w:eastAsia="方正仿宋_GB2312" w:cs="方正仿宋_GB2312"/>
          <w:b w:val="0"/>
          <w:bCs w:val="0"/>
          <w:color w:val="auto"/>
          <w:sz w:val="28"/>
          <w:szCs w:val="28"/>
          <w:lang w:val="en-US" w:eastAsia="zh-CN"/>
        </w:rPr>
        <w:t>场地和机房</w:t>
      </w:r>
      <w:r>
        <w:rPr>
          <w:rFonts w:hint="eastAsia" w:ascii="方正仿宋_GB2312" w:hAnsi="方正仿宋_GB2312" w:eastAsia="方正仿宋_GB2312" w:cs="方正仿宋_GB2312"/>
          <w:b w:val="0"/>
          <w:bCs w:val="0"/>
          <w:color w:val="auto"/>
          <w:sz w:val="28"/>
          <w:szCs w:val="28"/>
          <w:lang w:eastAsia="zh-CN"/>
        </w:rPr>
        <w:t>。</w:t>
      </w:r>
    </w:p>
    <w:p w14:paraId="1374FA4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（6）落实施工安全措施，确保工程及其人员、材料、设备和设施的安全，防止因工程施工造成的人身伤害和财产损失；</w:t>
      </w:r>
    </w:p>
    <w:p w14:paraId="0B6050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（7）应履行的</w:t>
      </w:r>
      <w:r>
        <w:rPr>
          <w:rFonts w:hint="eastAsia" w:ascii="方正仿宋_GB2312" w:hAnsi="方正仿宋_GB2312" w:eastAsia="方正仿宋_GB2312" w:cs="方正仿宋_GB2312"/>
          <w:b w:val="0"/>
          <w:bCs w:val="0"/>
          <w:color w:val="auto"/>
          <w:sz w:val="28"/>
          <w:szCs w:val="28"/>
          <w:lang w:val="en-US" w:eastAsia="zh-CN"/>
        </w:rPr>
        <w:t>等保测评的</w:t>
      </w:r>
      <w:r>
        <w:rPr>
          <w:rFonts w:hint="eastAsia" w:ascii="方正仿宋_GB2312" w:hAnsi="方正仿宋_GB2312" w:eastAsia="方正仿宋_GB2312" w:cs="方正仿宋_GB2312"/>
          <w:b w:val="0"/>
          <w:bCs w:val="0"/>
          <w:color w:val="auto"/>
          <w:sz w:val="28"/>
          <w:szCs w:val="28"/>
          <w:lang w:eastAsia="zh-CN"/>
        </w:rPr>
        <w:t>其他义务。</w:t>
      </w:r>
    </w:p>
    <w:p w14:paraId="25FE26F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八</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解决合同纠纷方式</w:t>
      </w:r>
    </w:p>
    <w:p w14:paraId="006911A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首先通过双方协商解决，协商解决不成，则通过以下途径之一解决纠纷：</w:t>
      </w:r>
    </w:p>
    <w:p w14:paraId="0B9A1D1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提请仲裁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向</w:t>
      </w:r>
      <w:r>
        <w:rPr>
          <w:rFonts w:hint="eastAsia" w:ascii="方正仿宋_GB2312" w:hAnsi="方正仿宋_GB2312" w:eastAsia="方正仿宋_GB2312" w:cs="方正仿宋_GB2312"/>
          <w:color w:val="auto"/>
          <w:sz w:val="28"/>
          <w:szCs w:val="28"/>
          <w:lang w:val="en-US" w:eastAsia="zh-CN"/>
        </w:rPr>
        <w:t>甲方所在地</w:t>
      </w:r>
      <w:r>
        <w:rPr>
          <w:rFonts w:hint="eastAsia" w:ascii="方正仿宋_GB2312" w:hAnsi="方正仿宋_GB2312" w:eastAsia="方正仿宋_GB2312" w:cs="方正仿宋_GB2312"/>
          <w:color w:val="auto"/>
          <w:sz w:val="28"/>
          <w:szCs w:val="28"/>
        </w:rPr>
        <w:t>人民法院提起诉讼</w:t>
      </w:r>
    </w:p>
    <w:p w14:paraId="5C10BEA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470C46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十、</w:t>
      </w:r>
      <w:r>
        <w:rPr>
          <w:rFonts w:hint="eastAsia" w:ascii="方正仿宋_GB2312" w:hAnsi="方正仿宋_GB2312" w:eastAsia="方正仿宋_GB2312" w:cs="方正仿宋_GB2312"/>
          <w:b/>
          <w:bCs/>
          <w:color w:val="auto"/>
          <w:sz w:val="28"/>
          <w:szCs w:val="28"/>
        </w:rPr>
        <w:t>组成合同的文件</w:t>
      </w:r>
    </w:p>
    <w:p w14:paraId="0181C8B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本协议书与下列文件一起构成合同文件，如下述文件之间有任何抵触、矛盾或歧义，应按以下顺序解释：</w:t>
      </w:r>
    </w:p>
    <w:p w14:paraId="6C15BD7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（1）在采购或合同履行过程中乙方作出的承诺以及双方协商达成的变更或补充协议</w:t>
      </w:r>
    </w:p>
    <w:p w14:paraId="368633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（2）成交通知书</w:t>
      </w:r>
    </w:p>
    <w:p w14:paraId="5D5B63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（3）响应文件</w:t>
      </w:r>
    </w:p>
    <w:p w14:paraId="368385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（4）政府采购合同格式条款及其附件</w:t>
      </w:r>
    </w:p>
    <w:p w14:paraId="17D06BA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（5）专用合同条款</w:t>
      </w:r>
    </w:p>
    <w:p w14:paraId="1AA88BC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（6）通用合同条款（如果有）</w:t>
      </w:r>
    </w:p>
    <w:p w14:paraId="5BCB32F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（7）标准、规范及有关技术文件，图纸，已标价工程量清单或预算书（如果有）</w:t>
      </w:r>
    </w:p>
    <w:p w14:paraId="281ED3E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（8）其他合同文件。</w:t>
      </w:r>
    </w:p>
    <w:p w14:paraId="04861C7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p>
    <w:p w14:paraId="1D2937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eastAsia="zh-CN"/>
        </w:rPr>
        <w:t>十一、</w:t>
      </w:r>
      <w:r>
        <w:rPr>
          <w:rFonts w:hint="eastAsia" w:ascii="方正仿宋_GB2312" w:hAnsi="方正仿宋_GB2312" w:eastAsia="方正仿宋_GB2312" w:cs="方正仿宋_GB2312"/>
          <w:b/>
          <w:bCs/>
          <w:color w:val="auto"/>
          <w:sz w:val="28"/>
          <w:szCs w:val="28"/>
        </w:rPr>
        <w:t>合同生效</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color w:val="auto"/>
          <w:sz w:val="28"/>
          <w:szCs w:val="28"/>
        </w:rPr>
        <w:t>本合同自双方签字</w:t>
      </w:r>
      <w:r>
        <w:rPr>
          <w:rFonts w:hint="eastAsia" w:ascii="方正仿宋_GB2312" w:hAnsi="方正仿宋_GB2312" w:eastAsia="方正仿宋_GB2312" w:cs="方正仿宋_GB2312"/>
          <w:color w:val="auto"/>
          <w:sz w:val="28"/>
          <w:szCs w:val="28"/>
          <w:lang w:eastAsia="zh-CN"/>
        </w:rPr>
        <w:t>并</w:t>
      </w:r>
      <w:r>
        <w:rPr>
          <w:rFonts w:hint="eastAsia" w:ascii="方正仿宋_GB2312" w:hAnsi="方正仿宋_GB2312" w:eastAsia="方正仿宋_GB2312" w:cs="方正仿宋_GB2312"/>
          <w:color w:val="auto"/>
          <w:sz w:val="28"/>
          <w:szCs w:val="28"/>
        </w:rPr>
        <w:t>盖章之日起生效。</w:t>
      </w:r>
    </w:p>
    <w:p w14:paraId="170E145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十二、</w:t>
      </w:r>
      <w:r>
        <w:rPr>
          <w:rFonts w:hint="eastAsia" w:ascii="方正仿宋_GB2312" w:hAnsi="方正仿宋_GB2312" w:eastAsia="方正仿宋_GB2312" w:cs="方正仿宋_GB2312"/>
          <w:b/>
          <w:bCs/>
          <w:color w:val="auto"/>
          <w:sz w:val="28"/>
          <w:szCs w:val="28"/>
        </w:rPr>
        <w:t>合同份数</w:t>
      </w:r>
      <w:r>
        <w:rPr>
          <w:rFonts w:hint="eastAsia" w:ascii="方正仿宋_GB2312" w:hAnsi="方正仿宋_GB2312" w:eastAsia="方正仿宋_GB2312" w:cs="方正仿宋_GB2312"/>
          <w:b/>
          <w:bCs/>
          <w:color w:val="auto"/>
          <w:sz w:val="28"/>
          <w:szCs w:val="28"/>
          <w:lang w:eastAsia="zh-CN"/>
        </w:rPr>
        <w:t>：</w:t>
      </w:r>
    </w:p>
    <w:p w14:paraId="13BDD1C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本合同一式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份，采购人执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份，供应商执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份，均具有同等法律效力。 </w:t>
      </w:r>
    </w:p>
    <w:p w14:paraId="0235778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本合同正式签订时，在不影响本次采购实质性内容的情况下，可经双方协商，增减相关内容。</w:t>
      </w:r>
    </w:p>
    <w:p w14:paraId="62711E7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其它</w:t>
      </w:r>
    </w:p>
    <w:p w14:paraId="6591A0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rPr>
        <w:t>合同未尽事宜，双方协商解决，协商不成，可以向甲方所在</w:t>
      </w:r>
      <w:r>
        <w:rPr>
          <w:rFonts w:hint="eastAsia" w:ascii="方正仿宋_GB2312" w:hAnsi="方正仿宋_GB2312" w:eastAsia="方正仿宋_GB2312" w:cs="方正仿宋_GB2312"/>
          <w:b w:val="0"/>
          <w:bCs w:val="0"/>
          <w:color w:val="auto"/>
          <w:sz w:val="28"/>
          <w:szCs w:val="28"/>
          <w:lang w:eastAsia="zh-CN"/>
        </w:rPr>
        <w:t>人民法院提起诉讼</w:t>
      </w:r>
      <w:r>
        <w:rPr>
          <w:rFonts w:hint="eastAsia" w:ascii="方正仿宋_GB2312" w:hAnsi="方正仿宋_GB2312" w:eastAsia="方正仿宋_GB2312" w:cs="方正仿宋_GB2312"/>
          <w:b w:val="0"/>
          <w:bCs w:val="0"/>
          <w:color w:val="auto"/>
          <w:sz w:val="28"/>
          <w:szCs w:val="28"/>
        </w:rPr>
        <w:t>。协商结果以“纪要”形式作为合同的附件。</w:t>
      </w:r>
    </w:p>
    <w:p w14:paraId="0438BFBD">
      <w:pPr>
        <w:pStyle w:val="2"/>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p>
    <w:p w14:paraId="3329D1B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甲      方：（公章）          乙      方：（公章）</w:t>
      </w:r>
    </w:p>
    <w:p w14:paraId="57CD9EC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w:t>
      </w:r>
    </w:p>
    <w:p w14:paraId="266218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联系</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 xml:space="preserve">                    联系</w:t>
      </w:r>
      <w:r>
        <w:rPr>
          <w:rFonts w:hint="eastAsia" w:ascii="方正仿宋_GB2312" w:hAnsi="方正仿宋_GB2312" w:eastAsia="方正仿宋_GB2312" w:cs="方正仿宋_GB2312"/>
          <w:color w:val="auto"/>
          <w:sz w:val="28"/>
          <w:szCs w:val="28"/>
        </w:rPr>
        <w:t>电话：</w:t>
      </w:r>
    </w:p>
    <w:p w14:paraId="311C72D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开户银行：  </w:t>
      </w:r>
    </w:p>
    <w:p w14:paraId="4DB89A5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帐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号： </w:t>
      </w:r>
    </w:p>
    <w:p w14:paraId="653C43D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sz w:val="28"/>
          <w:szCs w:val="28"/>
        </w:rPr>
        <w:tab/>
      </w:r>
    </w:p>
    <w:p w14:paraId="58C6F251">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合同订立时间：</w:t>
      </w:r>
      <w:r>
        <w:rPr>
          <w:rFonts w:hint="eastAsia" w:ascii="方正仿宋_GB2312" w:hAnsi="方正仿宋_GB2312" w:eastAsia="方正仿宋_GB2312" w:cs="方正仿宋_GB2312"/>
          <w:color w:val="auto"/>
          <w:sz w:val="28"/>
          <w:szCs w:val="28"/>
          <w:lang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日</w:t>
      </w:r>
    </w:p>
    <w:p w14:paraId="1A73B9E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Times New Roman"/>
          <w:b/>
          <w:color w:val="auto"/>
          <w:sz w:val="44"/>
          <w:szCs w:val="44"/>
          <w:lang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合同订立地点：桃江县人民医院</w:t>
      </w:r>
      <w:r>
        <w:rPr>
          <w:rFonts w:hint="eastAsia" w:ascii="宋体" w:hAnsi="宋体" w:eastAsia="宋体" w:cs="Times New Roman"/>
          <w:color w:val="auto"/>
          <w:sz w:val="28"/>
          <w:szCs w:val="28"/>
        </w:rPr>
        <w:t xml:space="preserve">  </w:t>
      </w:r>
      <w:r>
        <w:rPr>
          <w:rFonts w:hint="eastAsia" w:ascii="宋体"/>
          <w:b/>
          <w:bCs/>
          <w:color w:val="auto"/>
          <w:sz w:val="22"/>
          <w:szCs w:val="22"/>
        </w:rPr>
        <w:t xml:space="preserve">  </w:t>
      </w:r>
    </w:p>
    <w:p w14:paraId="3373F6B4">
      <w:pPr>
        <w:pStyle w:val="5"/>
        <w:ind w:left="0" w:leftChars="0" w:firstLine="0" w:firstLineChars="0"/>
        <w:rPr>
          <w:rFonts w:hint="eastAsia" w:ascii="方正仿宋_GB2312" w:hAnsi="方正仿宋_GB2312" w:eastAsia="方正仿宋_GB2312" w:cs="方正仿宋_GB2312"/>
          <w:b/>
          <w:color w:val="auto"/>
          <w:sz w:val="40"/>
          <w:szCs w:val="40"/>
          <w:lang w:eastAsia="zh-CN"/>
        </w:rPr>
        <w:sectPr>
          <w:pgSz w:w="11906" w:h="16838"/>
          <w:pgMar w:top="1474" w:right="1474" w:bottom="1474" w:left="1474" w:header="851" w:footer="992" w:gutter="0"/>
          <w:pgNumType w:fmt="decimal"/>
          <w:cols w:space="720" w:num="1"/>
          <w:docGrid w:type="lines" w:linePitch="312" w:charSpace="0"/>
        </w:sectPr>
      </w:pPr>
    </w:p>
    <w:p w14:paraId="209A3FDB">
      <w:pPr>
        <w:pStyle w:val="5"/>
        <w:ind w:left="0" w:leftChars="0" w:firstLine="0" w:firstLineChars="0"/>
        <w:rPr>
          <w:rFonts w:hint="eastAsia" w:ascii="方正仿宋_GB2312" w:hAnsi="方正仿宋_GB2312" w:eastAsia="方正仿宋_GB2312" w:cs="方正仿宋_GB2312"/>
          <w:b/>
          <w:color w:val="auto"/>
          <w:sz w:val="40"/>
          <w:szCs w:val="40"/>
          <w:lang w:eastAsia="zh-CN"/>
        </w:rPr>
      </w:pPr>
    </w:p>
    <w:p w14:paraId="73F3F34F">
      <w:pPr>
        <w:pageBreakBefore w:val="0"/>
        <w:numPr>
          <w:ilvl w:val="0"/>
          <w:numId w:val="0"/>
        </w:numPr>
        <w:kinsoku/>
        <w:overflowPunct/>
        <w:topLinePunct w:val="0"/>
        <w:bidi w:val="0"/>
        <w:spacing w:line="594" w:lineRule="exact"/>
        <w:jc w:val="center"/>
        <w:rPr>
          <w:rFonts w:hint="eastAsia" w:ascii="宋体" w:hAnsi="宋体"/>
          <w:b/>
          <w:color w:val="auto"/>
          <w:sz w:val="36"/>
          <w:szCs w:val="36"/>
        </w:rPr>
      </w:pPr>
      <w:r>
        <w:rPr>
          <w:rFonts w:hint="eastAsia" w:ascii="黑体" w:hAnsi="黑体" w:eastAsia="黑体" w:cs="黑体"/>
          <w:b w:val="0"/>
          <w:bCs/>
          <w:color w:val="auto"/>
          <w:kern w:val="2"/>
          <w:sz w:val="44"/>
          <w:szCs w:val="44"/>
          <w:lang w:val="en-US" w:eastAsia="zh-CN" w:bidi="ar-SA"/>
        </w:rPr>
        <w:t>第五章 响应文件格式</w:t>
      </w:r>
    </w:p>
    <w:p w14:paraId="3EEE8925">
      <w:pPr>
        <w:pStyle w:val="5"/>
        <w:keepNext w:val="0"/>
        <w:keepLines w:val="0"/>
        <w:pageBreakBefore w:val="0"/>
        <w:widowControl/>
        <w:kinsoku/>
        <w:wordWrap/>
        <w:overflowPunct/>
        <w:topLinePunct w:val="0"/>
        <w:autoSpaceDE/>
        <w:autoSpaceDN/>
        <w:bidi w:val="0"/>
        <w:adjustRightInd/>
        <w:snapToGrid/>
        <w:spacing w:line="594" w:lineRule="exact"/>
        <w:ind w:firstLine="420"/>
        <w:textAlignment w:val="auto"/>
        <w:rPr>
          <w:rFonts w:hint="eastAsia" w:eastAsia="宋体"/>
          <w:b w:val="0"/>
          <w:bCs/>
          <w:color w:val="auto"/>
          <w:sz w:val="28"/>
          <w:szCs w:val="28"/>
          <w:lang w:eastAsia="zh-CN"/>
        </w:rPr>
      </w:pPr>
      <w:r>
        <w:rPr>
          <w:rFonts w:hint="eastAsia" w:ascii="方正仿宋_GB2312" w:hAnsi="方正仿宋_GB2312" w:eastAsia="方正仿宋_GB2312" w:cs="方正仿宋_GB2312"/>
          <w:b w:val="0"/>
          <w:bCs/>
          <w:color w:val="auto"/>
          <w:sz w:val="28"/>
          <w:szCs w:val="28"/>
          <w:lang w:eastAsia="zh-CN"/>
        </w:rPr>
        <w:t>（注意：</w:t>
      </w:r>
      <w:r>
        <w:rPr>
          <w:rFonts w:hint="eastAsia" w:ascii="方正仿宋_GB2312" w:hAnsi="方正仿宋_GB2312" w:eastAsia="方正仿宋_GB2312" w:cs="方正仿宋_GB2312"/>
          <w:b w:val="0"/>
          <w:bCs/>
          <w:color w:val="auto"/>
          <w:sz w:val="28"/>
          <w:szCs w:val="28"/>
          <w:lang w:val="en-US" w:eastAsia="zh-CN"/>
        </w:rPr>
        <w:t>1、</w:t>
      </w:r>
      <w:r>
        <w:rPr>
          <w:rFonts w:hint="eastAsia" w:ascii="方正仿宋_GB2312" w:hAnsi="方正仿宋_GB2312" w:eastAsia="方正仿宋_GB2312" w:cs="方正仿宋_GB2312"/>
          <w:b w:val="0"/>
          <w:bCs/>
          <w:color w:val="auto"/>
          <w:sz w:val="28"/>
          <w:szCs w:val="28"/>
          <w:lang w:eastAsia="zh-CN"/>
        </w:rPr>
        <w:t>响应文件必须装订（</w:t>
      </w:r>
      <w:r>
        <w:rPr>
          <w:rFonts w:hint="eastAsia" w:ascii="方正仿宋_GB2312" w:hAnsi="方正仿宋_GB2312" w:eastAsia="方正仿宋_GB2312" w:cs="方正仿宋_GB2312"/>
          <w:b w:val="0"/>
          <w:bCs/>
          <w:color w:val="auto"/>
          <w:sz w:val="28"/>
          <w:szCs w:val="28"/>
          <w:lang w:val="en-US" w:eastAsia="zh-CN"/>
        </w:rPr>
        <w:t>胶装</w:t>
      </w:r>
      <w:r>
        <w:rPr>
          <w:rFonts w:hint="eastAsia" w:ascii="方正仿宋_GB2312" w:hAnsi="方正仿宋_GB2312" w:eastAsia="方正仿宋_GB2312" w:cs="方正仿宋_GB2312"/>
          <w:b w:val="0"/>
          <w:bCs/>
          <w:color w:val="auto"/>
          <w:sz w:val="28"/>
          <w:szCs w:val="28"/>
          <w:lang w:eastAsia="zh-CN"/>
        </w:rPr>
        <w:t>）成册密封递交，其中报价</w:t>
      </w:r>
      <w:r>
        <w:rPr>
          <w:rFonts w:hint="eastAsia" w:ascii="方正仿宋_GB2312" w:hAnsi="方正仿宋_GB2312" w:eastAsia="方正仿宋_GB2312" w:cs="方正仿宋_GB2312"/>
          <w:b w:val="0"/>
          <w:bCs/>
          <w:color w:val="auto"/>
          <w:sz w:val="28"/>
          <w:szCs w:val="28"/>
          <w:lang w:val="en-US" w:eastAsia="zh-CN"/>
        </w:rPr>
        <w:t>一栏</w:t>
      </w:r>
      <w:r>
        <w:rPr>
          <w:rFonts w:hint="eastAsia" w:ascii="方正仿宋_GB2312" w:hAnsi="方正仿宋_GB2312" w:eastAsia="方正仿宋_GB2312" w:cs="方正仿宋_GB2312"/>
          <w:b w:val="0"/>
          <w:bCs/>
          <w:color w:val="auto"/>
          <w:sz w:val="28"/>
          <w:szCs w:val="28"/>
          <w:lang w:eastAsia="zh-CN"/>
        </w:rPr>
        <w:t>表、分项报价表</w:t>
      </w:r>
      <w:r>
        <w:rPr>
          <w:rFonts w:hint="eastAsia" w:ascii="方正仿宋_GB2312" w:hAnsi="方正仿宋_GB2312" w:eastAsia="方正仿宋_GB2312" w:cs="方正仿宋_GB2312"/>
          <w:b w:val="0"/>
          <w:bCs/>
          <w:color w:val="auto"/>
          <w:sz w:val="28"/>
          <w:szCs w:val="28"/>
          <w:lang w:val="en-US" w:eastAsia="zh-CN"/>
        </w:rPr>
        <w:t>除了响应文件内容制作外，还</w:t>
      </w:r>
      <w:r>
        <w:rPr>
          <w:rFonts w:hint="eastAsia" w:ascii="方正仿宋_GB2312" w:hAnsi="方正仿宋_GB2312" w:eastAsia="方正仿宋_GB2312" w:cs="方正仿宋_GB2312"/>
          <w:b w:val="0"/>
          <w:bCs/>
          <w:color w:val="auto"/>
          <w:sz w:val="28"/>
          <w:szCs w:val="28"/>
          <w:lang w:eastAsia="zh-CN"/>
        </w:rPr>
        <w:t>需各另一份单独密封递交；</w:t>
      </w:r>
      <w:r>
        <w:rPr>
          <w:rFonts w:hint="eastAsia" w:ascii="方正仿宋_GB2312" w:hAnsi="方正仿宋_GB2312" w:eastAsia="方正仿宋_GB2312" w:cs="方正仿宋_GB2312"/>
          <w:b w:val="0"/>
          <w:bCs/>
          <w:color w:val="auto"/>
          <w:sz w:val="28"/>
          <w:szCs w:val="28"/>
          <w:lang w:val="en-US" w:eastAsia="zh-CN"/>
        </w:rPr>
        <w:t>2、签字、盖章必须齐全</w:t>
      </w:r>
      <w:r>
        <w:rPr>
          <w:rFonts w:hint="eastAsia" w:ascii="方正仿宋_GB2312" w:hAnsi="方正仿宋_GB2312" w:eastAsia="方正仿宋_GB2312" w:cs="方正仿宋_GB2312"/>
          <w:b w:val="0"/>
          <w:bCs/>
          <w:color w:val="auto"/>
          <w:sz w:val="28"/>
          <w:szCs w:val="28"/>
          <w:lang w:eastAsia="zh-CN"/>
        </w:rPr>
        <w:t>）</w:t>
      </w:r>
    </w:p>
    <w:p w14:paraId="056E3CC5">
      <w:pPr>
        <w:pStyle w:val="5"/>
        <w:pageBreakBefore w:val="0"/>
        <w:kinsoku/>
        <w:overflowPunct/>
        <w:topLinePunct w:val="0"/>
        <w:bidi w:val="0"/>
        <w:spacing w:line="594" w:lineRule="exact"/>
        <w:rPr>
          <w:rFonts w:hint="eastAsia"/>
          <w:color w:val="auto"/>
        </w:rPr>
        <w:sectPr>
          <w:pgSz w:w="11906" w:h="16838"/>
          <w:pgMar w:top="1474" w:right="1474" w:bottom="1474" w:left="1474" w:header="851" w:footer="992" w:gutter="0"/>
          <w:pgNumType w:fmt="decimal"/>
          <w:cols w:space="720" w:num="1"/>
          <w:docGrid w:type="lines" w:linePitch="312" w:charSpace="0"/>
        </w:sectPr>
      </w:pPr>
    </w:p>
    <w:p w14:paraId="568811E6">
      <w:pPr>
        <w:pStyle w:val="5"/>
        <w:pageBreakBefore w:val="0"/>
        <w:kinsoku/>
        <w:overflowPunct/>
        <w:topLinePunct w:val="0"/>
        <w:bidi w:val="0"/>
        <w:spacing w:line="594" w:lineRule="exact"/>
        <w:rPr>
          <w:rFonts w:hint="eastAsia"/>
          <w:color w:val="auto"/>
        </w:rPr>
      </w:pPr>
    </w:p>
    <w:p w14:paraId="0DB91AB9">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院内比选采购</w:t>
      </w:r>
    </w:p>
    <w:p w14:paraId="1915C58D">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响应文件</w:t>
      </w:r>
    </w:p>
    <w:p w14:paraId="0F2C2C4E">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7A46F204">
      <w:pPr>
        <w:pStyle w:val="18"/>
        <w:pageBreakBefore w:val="0"/>
        <w:kinsoku/>
        <w:overflowPunct/>
        <w:topLinePunct w:val="0"/>
        <w:bidi w:val="0"/>
        <w:spacing w:line="594" w:lineRule="exact"/>
        <w:rPr>
          <w:rFonts w:hint="eastAsia"/>
          <w:color w:val="auto"/>
          <w:lang w:eastAsia="zh-CN"/>
        </w:rPr>
      </w:pPr>
    </w:p>
    <w:p w14:paraId="793A9698">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495CC8FA">
      <w:pPr>
        <w:pStyle w:val="18"/>
        <w:pageBreakBefore w:val="0"/>
        <w:kinsoku/>
        <w:overflowPunct/>
        <w:topLinePunct w:val="0"/>
        <w:bidi w:val="0"/>
        <w:spacing w:line="594" w:lineRule="exact"/>
        <w:rPr>
          <w:rFonts w:hint="eastAsia"/>
          <w:color w:val="auto"/>
          <w:lang w:eastAsia="zh-CN"/>
        </w:rPr>
      </w:pPr>
    </w:p>
    <w:p w14:paraId="1F334225">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电梯年度维保服务采购项目</w:t>
      </w:r>
    </w:p>
    <w:p w14:paraId="3F0E09F9">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    购  人：</w:t>
      </w:r>
      <w:r>
        <w:rPr>
          <w:rFonts w:hint="eastAsia" w:ascii="黑体" w:hAnsi="黑体" w:eastAsia="黑体" w:cs="黑体"/>
          <w:b w:val="0"/>
          <w:bCs w:val="0"/>
          <w:color w:val="auto"/>
          <w:sz w:val="36"/>
          <w:szCs w:val="36"/>
          <w:u w:val="single"/>
          <w:lang w:eastAsia="zh-CN"/>
        </w:rPr>
        <w:t>桃江县人民医院</w:t>
      </w:r>
    </w:p>
    <w:p w14:paraId="5DE070B4">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采购项目编号：</w:t>
      </w:r>
      <w:r>
        <w:rPr>
          <w:rFonts w:hint="eastAsia" w:ascii="黑体" w:hAnsi="黑体" w:eastAsia="黑体" w:cs="黑体"/>
          <w:b w:val="0"/>
          <w:bCs w:val="0"/>
          <w:color w:val="auto"/>
          <w:sz w:val="36"/>
          <w:szCs w:val="36"/>
          <w:u w:val="single"/>
          <w:lang w:eastAsia="zh-CN"/>
        </w:rPr>
        <w:t>HNTJRY-TJ2026-001</w:t>
      </w:r>
    </w:p>
    <w:p w14:paraId="5175273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637FB12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1E92222C">
      <w:pPr>
        <w:pStyle w:val="18"/>
        <w:pageBreakBefore w:val="0"/>
        <w:kinsoku/>
        <w:overflowPunct/>
        <w:topLinePunct w:val="0"/>
        <w:bidi w:val="0"/>
        <w:spacing w:line="594" w:lineRule="exact"/>
        <w:ind w:left="0" w:leftChars="0" w:firstLine="0" w:firstLineChars="0"/>
        <w:rPr>
          <w:rFonts w:hint="eastAsia"/>
          <w:color w:val="auto"/>
          <w:lang w:eastAsia="zh-CN"/>
        </w:rPr>
      </w:pPr>
    </w:p>
    <w:p w14:paraId="6FBA2C37">
      <w:pPr>
        <w:pageBreakBefore w:val="0"/>
        <w:kinsoku/>
        <w:overflowPunct/>
        <w:topLinePunct w:val="0"/>
        <w:bidi w:val="0"/>
        <w:spacing w:line="594" w:lineRule="exact"/>
        <w:jc w:val="center"/>
        <w:rPr>
          <w:rFonts w:hint="eastAsia" w:ascii="黑体" w:hAnsi="黑体" w:eastAsia="黑体" w:cs="黑体"/>
          <w:color w:val="auto"/>
          <w:sz w:val="32"/>
          <w:szCs w:val="32"/>
          <w:lang w:eastAsia="zh-CN"/>
        </w:rPr>
      </w:pPr>
    </w:p>
    <w:p w14:paraId="55F7495C">
      <w:pPr>
        <w:pageBreakBefore w:val="0"/>
        <w:kinsoku/>
        <w:overflowPunct/>
        <w:topLinePunct w:val="0"/>
        <w:bidi w:val="0"/>
        <w:spacing w:line="594" w:lineRule="exact"/>
        <w:jc w:val="center"/>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（公章）</w:t>
      </w:r>
    </w:p>
    <w:p w14:paraId="1CC8F3F4">
      <w:pPr>
        <w:pageBreakBefore w:val="0"/>
        <w:kinsoku/>
        <w:overflowPunct/>
        <w:topLinePunct w:val="0"/>
        <w:bidi w:val="0"/>
        <w:spacing w:line="594" w:lineRule="exact"/>
        <w:ind w:firstLine="2880" w:firstLineChars="900"/>
        <w:jc w:val="both"/>
        <w:rPr>
          <w:rFonts w:hint="eastAsia" w:ascii="黑体" w:hAnsi="黑体" w:eastAsia="黑体" w:cs="黑体"/>
          <w:color w:val="auto"/>
          <w:sz w:val="32"/>
          <w:szCs w:val="32"/>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年</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月</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日</w:t>
      </w:r>
    </w:p>
    <w:p w14:paraId="3428DFA8">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（一）投标函</w:t>
      </w:r>
    </w:p>
    <w:p w14:paraId="076FD5BE">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（采购人）：</w:t>
      </w:r>
    </w:p>
    <w:p w14:paraId="745B3E0A">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根据贵方为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（项目名称）的投标邀请（</w:t>
      </w:r>
      <w:r>
        <w:rPr>
          <w:rFonts w:hint="eastAsia" w:ascii="方正仿宋_GB2312" w:hAnsi="方正仿宋_GB2312" w:eastAsia="方正仿宋_GB2312" w:cs="方正仿宋_GB2312"/>
          <w:iCs/>
          <w:color w:val="auto"/>
          <w:sz w:val="28"/>
          <w:szCs w:val="28"/>
          <w:highlight w:val="none"/>
        </w:rPr>
        <w:t>采购</w:t>
      </w:r>
      <w:r>
        <w:rPr>
          <w:rFonts w:hint="eastAsia" w:ascii="方正仿宋_GB2312" w:hAnsi="方正仿宋_GB2312" w:eastAsia="方正仿宋_GB2312" w:cs="方正仿宋_GB2312"/>
          <w:iCs/>
          <w:color w:val="auto"/>
          <w:sz w:val="28"/>
          <w:szCs w:val="28"/>
          <w:highlight w:val="none"/>
          <w:lang w:eastAsia="zh-CN"/>
        </w:rPr>
        <w:t>项目</w:t>
      </w:r>
      <w:r>
        <w:rPr>
          <w:rFonts w:hint="eastAsia" w:ascii="方正仿宋_GB2312" w:hAnsi="方正仿宋_GB2312" w:eastAsia="方正仿宋_GB2312" w:cs="方正仿宋_GB2312"/>
          <w:iCs/>
          <w:color w:val="auto"/>
          <w:sz w:val="28"/>
          <w:szCs w:val="28"/>
          <w:highlight w:val="none"/>
        </w:rPr>
        <w:t>编号：</w:t>
      </w:r>
      <w:r>
        <w:rPr>
          <w:rFonts w:hint="eastAsia" w:ascii="方正仿宋_GB2312" w:hAnsi="方正仿宋_GB2312" w:eastAsia="方正仿宋_GB2312" w:cs="方正仿宋_GB2312"/>
          <w:iCs/>
          <w:color w:val="auto"/>
          <w:sz w:val="28"/>
          <w:szCs w:val="28"/>
          <w:highlight w:val="none"/>
          <w:u w:val="single"/>
        </w:rPr>
        <w:t xml:space="preserve">      </w:t>
      </w:r>
      <w:r>
        <w:rPr>
          <w:rFonts w:hint="eastAsia" w:ascii="方正仿宋_GB2312" w:hAnsi="方正仿宋_GB2312" w:eastAsia="方正仿宋_GB2312" w:cs="方正仿宋_GB2312"/>
          <w:iCs/>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 xml:space="preserve">），签字代表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（姓名、职务）经正式授权并代表投标人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（投标人名称）提交下述投标文件正本一份,副本</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份，参加</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采购项目投标，并在此声明，所递交的投标文件内容完整、真实。</w:t>
      </w:r>
    </w:p>
    <w:p w14:paraId="2A63FAB9">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在此，签字代表宣布同意如下：</w:t>
      </w:r>
    </w:p>
    <w:p w14:paraId="7BD3C78B">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1、投标人严格按照</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文件的规定报价。</w:t>
      </w:r>
    </w:p>
    <w:p w14:paraId="7C6B8E00">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、投标人已详细审查</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文件。我们完全理解并同意放弃对这方面有不明及误解的权力。</w:t>
      </w:r>
    </w:p>
    <w:p w14:paraId="227FADF7">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、本投标有效期为自</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文件规定的提交</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文件截止之日起</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个日历日。在投标有效期内，投标人同意遵守本</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文件中的承诺且在此期限期满之前</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文件对我方具有法律约束力。</w:t>
      </w:r>
    </w:p>
    <w:p w14:paraId="1A05856E">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、同意提供贵方可能要求的与其投标有关的一切数据或资料。</w:t>
      </w:r>
    </w:p>
    <w:p w14:paraId="21A43F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、与本投标有关的一切正式往来信函请寄：</w:t>
      </w:r>
    </w:p>
    <w:p w14:paraId="4B2FD795">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；邮</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编：</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269A70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；电子邮箱：</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15C8FEC1">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投标人名称（盖单位章）：                       </w:t>
      </w:r>
    </w:p>
    <w:p w14:paraId="690449B4">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2"/>
          <w:kern w:val="0"/>
          <w:sz w:val="28"/>
          <w:szCs w:val="28"/>
          <w:highlight w:val="none"/>
        </w:rPr>
        <w:t>法</w:t>
      </w:r>
      <w:r>
        <w:rPr>
          <w:rFonts w:hint="eastAsia" w:ascii="方正仿宋_GB2312" w:hAnsi="方正仿宋_GB2312" w:eastAsia="方正仿宋_GB2312" w:cs="方正仿宋_GB2312"/>
          <w:color w:val="auto"/>
          <w:sz w:val="28"/>
          <w:szCs w:val="28"/>
          <w:highlight w:val="none"/>
        </w:rPr>
        <w:t>定代表人或其授权的代理人（签字或印章）：</w:t>
      </w:r>
    </w:p>
    <w:p w14:paraId="1792D28F">
      <w:pPr>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日</w:t>
      </w:r>
    </w:p>
    <w:p w14:paraId="7DAD67CE">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w:t>
      </w:r>
      <w:r>
        <w:rPr>
          <w:rFonts w:hint="eastAsia" w:ascii="方正公文小标宋" w:hAnsi="方正公文小标宋" w:eastAsia="方正公文小标宋" w:cs="方正公文小标宋"/>
          <w:b w:val="0"/>
          <w:bCs w:val="0"/>
          <w:color w:val="auto"/>
          <w:sz w:val="40"/>
          <w:szCs w:val="40"/>
          <w:lang w:val="en-US" w:eastAsia="zh-CN"/>
        </w:rPr>
        <w:t>二</w:t>
      </w:r>
      <w:r>
        <w:rPr>
          <w:rFonts w:hint="eastAsia" w:ascii="方正公文小标宋" w:hAnsi="方正公文小标宋" w:eastAsia="方正公文小标宋" w:cs="方正公文小标宋"/>
          <w:b w:val="0"/>
          <w:bCs w:val="0"/>
          <w:color w:val="auto"/>
          <w:sz w:val="40"/>
          <w:szCs w:val="40"/>
          <w:lang w:eastAsia="zh-CN"/>
        </w:rPr>
        <w:t>）投标人资格声明承诺函(格式)</w:t>
      </w:r>
    </w:p>
    <w:p w14:paraId="5014877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14:paraId="639F412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按照《中华人民共和国政府采购法》第二十二条和</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的规定，我单位郑重声明如下：</w:t>
      </w:r>
    </w:p>
    <w:p w14:paraId="38C37064">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一、我单位是按照中华人民共和国法律规定登记注册的，注册地点为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，全称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，统一社会信用代码为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，法定代表人（单位负责人）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，具有独立承担民事责任的能力。</w:t>
      </w:r>
    </w:p>
    <w:p w14:paraId="555D7F40">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二、我单位未被“国家企业信用信息系统”列入经营异常名录或者严重违法企业名单。</w:t>
      </w:r>
    </w:p>
    <w:p w14:paraId="1F3D66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三、我单位具有良好的商业信誉和健全的财务会计制度。</w:t>
      </w:r>
    </w:p>
    <w:p w14:paraId="6089D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四、我单位依法进行纳税和社会保险申报并实际履行了义务。</w:t>
      </w:r>
    </w:p>
    <w:p w14:paraId="47E8D68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五、我单位具有履行本项目采购合同所必需的设备和专业技术能力，并具有履行合同的良好记录。</w:t>
      </w:r>
    </w:p>
    <w:p w14:paraId="6DA26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六、我单位在参加采购项目政府采购活动前三年内，在经营活动中，未因违法经营受到刑事处罚或者责令停产停业、吊销许可证或者执照、较大数额罚款等行政处罚。</w:t>
      </w:r>
    </w:p>
    <w:p w14:paraId="53D949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七、我单位具备法律、行政法规规定的其他条件。</w:t>
      </w:r>
    </w:p>
    <w:p w14:paraId="3CAB6D9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八、与我单位存在“单位负责人为同一人或者存在直接控股、管理关系”的其他单位信息如下（如无，填写“无”）：</w:t>
      </w:r>
    </w:p>
    <w:p w14:paraId="2226FDD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1、与我单位的法定代表人（单位负责人）为同一人的其他单位如下：</w:t>
      </w:r>
    </w:p>
    <w:p w14:paraId="1F4C0D2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2、我单位直接控股的其他单位如下：</w:t>
      </w:r>
    </w:p>
    <w:p w14:paraId="39F0FFA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3、与我单位存在管理关系的其他单位如下：</w:t>
      </w:r>
    </w:p>
    <w:p w14:paraId="227CDC9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九、我单位不属于为本项目提供整体设计、规范编制或者项目管理、监理、检测等服务的投标人。</w:t>
      </w:r>
    </w:p>
    <w:p w14:paraId="27B1DB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十、我单位无以下不良信用记录情形：</w:t>
      </w:r>
    </w:p>
    <w:p w14:paraId="7AC46A8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1、在“信用中国”网站被列入失信被执行人和重大税收违法案件当事人名单；</w:t>
      </w:r>
    </w:p>
    <w:p w14:paraId="1DFF262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2、在“中国政府采购网”网站被列入政府采购严重违法失信行为记录名单；</w:t>
      </w:r>
    </w:p>
    <w:p w14:paraId="758BFBD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3、不符合《政府采购法》第二十二条规定的条件。</w:t>
      </w:r>
    </w:p>
    <w:p w14:paraId="50170AC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我单位保证上述声明的事项都是真实的，如有虚假，我单位愿意承担相应的法律责任，并承担因此所造成的一切损失。</w:t>
      </w:r>
    </w:p>
    <w:p w14:paraId="42D6AC1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cs="宋体" w:asciiTheme="minorEastAsia" w:hAnsiTheme="minorEastAsia" w:eastAsiaTheme="minorEastAsia"/>
          <w:color w:val="auto"/>
          <w:sz w:val="28"/>
          <w:szCs w:val="28"/>
          <w:highlight w:val="none"/>
        </w:rPr>
      </w:pPr>
      <w:r>
        <w:rPr>
          <w:rFonts w:hint="eastAsia" w:ascii="方正仿宋_GB2312" w:hAnsi="方正仿宋_GB2312" w:eastAsia="方正仿宋_GB2312" w:cs="方正仿宋_GB2312"/>
          <w:color w:val="auto"/>
          <w:sz w:val="28"/>
          <w:szCs w:val="28"/>
        </w:rPr>
        <w:t>注：第三条“良好的商业信誉”是指投标人经营状况良好，无本资格声明第十条情形。</w:t>
      </w:r>
    </w:p>
    <w:p w14:paraId="7A69AD5D">
      <w:pPr>
        <w:pStyle w:val="10"/>
        <w:keepNext w:val="0"/>
        <w:keepLines w:val="0"/>
        <w:pageBreakBefore w:val="0"/>
        <w:kinsoku/>
        <w:wordWrap/>
        <w:overflowPunct/>
        <w:topLinePunct w:val="0"/>
        <w:autoSpaceDE/>
        <w:autoSpaceDN/>
        <w:bidi w:val="0"/>
        <w:adjustRightInd w:val="0"/>
        <w:snapToGrid w:val="0"/>
        <w:spacing w:line="594" w:lineRule="exact"/>
        <w:ind w:firstLine="3360" w:firstLineChars="1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7F28F16B">
      <w:pPr>
        <w:pStyle w:val="10"/>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 xml:space="preserve">      法定代表人或授权代表人：</w:t>
      </w:r>
      <w:r>
        <w:rPr>
          <w:rFonts w:hint="eastAsia" w:ascii="方正仿宋_GB2312" w:hAnsi="方正仿宋_GB2312" w:eastAsia="方正仿宋_GB2312" w:cs="方正仿宋_GB2312"/>
          <w:color w:val="auto"/>
          <w:sz w:val="28"/>
          <w:szCs w:val="28"/>
          <w:u w:val="single"/>
          <w:lang w:val="en-US" w:eastAsia="zh-CN"/>
        </w:rPr>
        <w:t xml:space="preserve">                </w:t>
      </w:r>
    </w:p>
    <w:p w14:paraId="72B0BE3D">
      <w:pPr>
        <w:pStyle w:val="10"/>
        <w:keepNext w:val="0"/>
        <w:keepLines w:val="0"/>
        <w:pageBreakBefore w:val="0"/>
        <w:kinsoku/>
        <w:wordWrap/>
        <w:overflowPunct/>
        <w:topLinePunct w:val="0"/>
        <w:autoSpaceDE/>
        <w:autoSpaceDN/>
        <w:bidi w:val="0"/>
        <w:adjustRightInd w:val="0"/>
        <w:snapToGrid w:val="0"/>
        <w:spacing w:line="594" w:lineRule="exact"/>
        <w:ind w:firstLine="3080" w:firstLineChars="11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（签字或印章）：</w:t>
      </w:r>
    </w:p>
    <w:p w14:paraId="73B6A9F6">
      <w:pPr>
        <w:pStyle w:val="10"/>
        <w:keepNext w:val="0"/>
        <w:keepLines w:val="0"/>
        <w:pageBreakBefore w:val="0"/>
        <w:kinsoku/>
        <w:wordWrap/>
        <w:overflowPunct/>
        <w:topLinePunct w:val="0"/>
        <w:autoSpaceDE/>
        <w:autoSpaceDN/>
        <w:bidi w:val="0"/>
        <w:adjustRightInd w:val="0"/>
        <w:snapToGrid w:val="0"/>
        <w:spacing w:line="594" w:lineRule="exact"/>
        <w:ind w:firstLine="5600" w:firstLineChars="2000"/>
        <w:jc w:val="both"/>
        <w:textAlignment w:val="auto"/>
        <w:rPr>
          <w:rFonts w:hint="eastAsia" w:ascii="方正仿宋_GB2312" w:hAnsi="方正仿宋_GB2312" w:eastAsia="方正仿宋_GB2312" w:cs="方正仿宋_GB2312"/>
          <w:color w:val="auto"/>
          <w:sz w:val="28"/>
          <w:szCs w:val="28"/>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w:t>
      </w:r>
    </w:p>
    <w:p w14:paraId="5CAE733C">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三</w:t>
      </w: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rPr>
        <w:t>参加政府采购活动前三年内在经营活动中</w:t>
      </w:r>
    </w:p>
    <w:p w14:paraId="4BCEC6DA">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rPr>
        <w:t>没有重大违法记录的书面声明</w:t>
      </w:r>
    </w:p>
    <w:p w14:paraId="5C3FF728">
      <w:pPr>
        <w:rPr>
          <w:rFonts w:hint="eastAsia"/>
          <w:color w:val="auto"/>
        </w:rPr>
      </w:pPr>
    </w:p>
    <w:p w14:paraId="61007579">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w:t>
      </w:r>
    </w:p>
    <w:p w14:paraId="10082F1E">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rPr>
        <w:t>我单位在</w:t>
      </w:r>
      <w:r>
        <w:rPr>
          <w:rFonts w:hint="eastAsia" w:ascii="方正仿宋_GB2312" w:hAnsi="方正仿宋_GB2312" w:eastAsia="方正仿宋_GB2312" w:cs="方正仿宋_GB2312"/>
          <w:color w:val="auto"/>
          <w:sz w:val="28"/>
          <w:szCs w:val="28"/>
        </w:rPr>
        <w:t>参加采购活动前三年内在经营活动中没有政府采购法第二十二条第一款第（五）项所称重大违法记录，包括：</w:t>
      </w:r>
    </w:p>
    <w:p w14:paraId="105BE472">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或者其法定代表人、董事、监事、高级管理人员因经营活动中的违法行为受到行政处罚，但警告和罚款额在三万元以下的行政处罚除外；</w:t>
      </w:r>
    </w:p>
    <w:p w14:paraId="48D33CA7">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或者其法定代表人、董事、监事、高级管理人员因经营活动中的违法行为受到刑事处罚。</w:t>
      </w:r>
    </w:p>
    <w:p w14:paraId="2013D0FD">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特此声明！</w:t>
      </w:r>
    </w:p>
    <w:p w14:paraId="0DFA68A1">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25B225E2">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16775790">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供应商名称（单位章）： </w:t>
      </w:r>
    </w:p>
    <w:p w14:paraId="29234A81">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法定代表人（签字或盖章）：</w:t>
      </w:r>
      <w:r>
        <w:rPr>
          <w:rFonts w:hint="eastAsia" w:ascii="方正仿宋_GB2312" w:hAnsi="方正仿宋_GB2312" w:eastAsia="方正仿宋_GB2312" w:cs="方正仿宋_GB2312"/>
          <w:color w:val="auto"/>
          <w:sz w:val="28"/>
          <w:szCs w:val="28"/>
          <w:u w:val="single"/>
        </w:rPr>
        <w:t xml:space="preserve">              </w:t>
      </w:r>
    </w:p>
    <w:p w14:paraId="44931E41">
      <w:pPr>
        <w:pageBreakBefore w:val="0"/>
        <w:widowControl/>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6D14A11">
      <w:pPr>
        <w:pStyle w:val="15"/>
        <w:pageBreakBefore w:val="0"/>
        <w:kinsoku/>
        <w:overflowPunct/>
        <w:topLinePunct w:val="0"/>
        <w:bidi w:val="0"/>
        <w:spacing w:line="594" w:lineRule="exact"/>
        <w:rPr>
          <w:rFonts w:hint="eastAsia"/>
          <w:color w:val="auto"/>
          <w:sz w:val="28"/>
          <w:szCs w:val="28"/>
        </w:rPr>
        <w:sectPr>
          <w:pgSz w:w="11906" w:h="16838"/>
          <w:pgMar w:top="1474" w:right="1474" w:bottom="1474" w:left="1474" w:header="851" w:footer="992" w:gutter="0"/>
          <w:pgNumType w:fmt="decimal"/>
          <w:cols w:space="720" w:num="1"/>
          <w:docGrid w:type="lines" w:linePitch="312" w:charSpace="0"/>
        </w:sectPr>
      </w:pPr>
    </w:p>
    <w:p w14:paraId="74F1018C">
      <w:pPr>
        <w:jc w:val="center"/>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四</w:t>
      </w:r>
      <w:r>
        <w:rPr>
          <w:rFonts w:hint="eastAsia" w:ascii="方正公文小标宋" w:hAnsi="方正公文小标宋" w:eastAsia="方正公文小标宋" w:cs="方正公文小标宋"/>
          <w:b w:val="0"/>
          <w:bCs w:val="0"/>
          <w:color w:val="auto"/>
          <w:sz w:val="36"/>
          <w:szCs w:val="36"/>
          <w:lang w:eastAsia="zh-CN"/>
        </w:rPr>
        <w:t>）法定代表人身份证明书</w:t>
      </w:r>
    </w:p>
    <w:p w14:paraId="3B1AFF75">
      <w:pPr>
        <w:pageBreakBefore w:val="0"/>
        <w:kinsoku/>
        <w:overflowPunct/>
        <w:topLinePunct w:val="0"/>
        <w:bidi w:val="0"/>
        <w:spacing w:line="594" w:lineRule="exact"/>
        <w:rPr>
          <w:rFonts w:hint="eastAsia"/>
          <w:color w:val="auto"/>
        </w:rPr>
      </w:pPr>
      <w:r>
        <w:rPr>
          <w:rFonts w:hint="eastAsia"/>
          <w:color w:val="auto"/>
        </w:rPr>
        <w:t xml:space="preserve">  </w:t>
      </w:r>
    </w:p>
    <w:p w14:paraId="65D3BDB6">
      <w:pPr>
        <w:pageBreakBefore w:val="0"/>
        <w:kinsoku/>
        <w:overflowPunct/>
        <w:topLinePunct w:val="0"/>
        <w:bidi w:val="0"/>
        <w:spacing w:line="594" w:lineRule="exact"/>
        <w:ind w:firstLine="560" w:firstLineChars="200"/>
        <w:rPr>
          <w:rFonts w:hint="default" w:ascii="方正仿宋_GB2312" w:hAnsi="方正仿宋_GB2312" w:eastAsia="方正仿宋_GB2312" w:cs="方正仿宋_GB2312"/>
          <w:color w:val="auto"/>
          <w:sz w:val="28"/>
          <w:szCs w:val="36"/>
          <w:u w:val="none"/>
          <w:lang w:val="en-US" w:eastAsia="zh-CN"/>
        </w:rPr>
      </w:pPr>
      <w:r>
        <w:rPr>
          <w:rFonts w:hint="eastAsia" w:ascii="方正仿宋_GB2312" w:hAnsi="方正仿宋_GB2312" w:eastAsia="方正仿宋_GB2312" w:cs="方正仿宋_GB2312"/>
          <w:color w:val="auto"/>
          <w:sz w:val="28"/>
          <w:szCs w:val="36"/>
        </w:rPr>
        <w:t>兹证明</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rPr>
        <w:t>（法定代表人姓名）</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性别</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u w:val="none"/>
          <w:lang w:eastAsia="zh-CN"/>
        </w:rPr>
        <w:t>，</w:t>
      </w:r>
      <w:r>
        <w:rPr>
          <w:rFonts w:hint="eastAsia" w:ascii="方正仿宋_GB2312" w:hAnsi="方正仿宋_GB2312" w:eastAsia="方正仿宋_GB2312" w:cs="方正仿宋_GB2312"/>
          <w:color w:val="auto"/>
          <w:sz w:val="28"/>
          <w:szCs w:val="36"/>
        </w:rPr>
        <w:t>年龄</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，职务</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为我单位法定代表人</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 xml:space="preserve"> 单位地址：</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u w:val="none"/>
          <w:lang w:val="en-US" w:eastAsia="zh-CN"/>
        </w:rPr>
        <w:t>。</w:t>
      </w:r>
    </w:p>
    <w:p w14:paraId="42A00DFB">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pPr>
    </w:p>
    <w:p w14:paraId="6294E1F0">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lang w:eastAsia="zh-CN"/>
        </w:rPr>
      </w:pPr>
      <w:r>
        <w:rPr>
          <w:rFonts w:hint="eastAsia" w:ascii="方正仿宋_GB2312" w:hAnsi="方正仿宋_GB2312" w:eastAsia="方正仿宋_GB2312" w:cs="方正仿宋_GB2312"/>
          <w:color w:val="auto"/>
          <w:sz w:val="28"/>
          <w:szCs w:val="36"/>
        </w:rPr>
        <w:t>特此证明</w:t>
      </w:r>
      <w:r>
        <w:rPr>
          <w:rFonts w:hint="eastAsia" w:ascii="方正仿宋_GB2312" w:hAnsi="方正仿宋_GB2312" w:eastAsia="方正仿宋_GB2312" w:cs="方正仿宋_GB2312"/>
          <w:color w:val="auto"/>
          <w:sz w:val="28"/>
          <w:szCs w:val="36"/>
          <w:lang w:eastAsia="zh-CN"/>
        </w:rPr>
        <w:t>！</w:t>
      </w:r>
    </w:p>
    <w:p w14:paraId="68D020F0">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2797580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E1364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383D0F">
      <w:pPr>
        <w:pStyle w:val="10"/>
        <w:keepNext w:val="0"/>
        <w:keepLines w:val="0"/>
        <w:pageBreakBefore w:val="0"/>
        <w:widowControl w:val="0"/>
        <w:kinsoku/>
        <w:wordWrap w:val="0"/>
        <w:overflowPunct/>
        <w:topLinePunct w:val="0"/>
        <w:autoSpaceDE/>
        <w:autoSpaceDN/>
        <w:bidi w:val="0"/>
        <w:adjustRightInd w:val="0"/>
        <w:snapToGrid w:val="0"/>
        <w:spacing w:beforeLines="50" w:line="594" w:lineRule="exact"/>
        <w:jc w:val="center"/>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单位（盖章）</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 xml:space="preserve">    </w:t>
      </w:r>
    </w:p>
    <w:p w14:paraId="2168694A">
      <w:pPr>
        <w:keepNext w:val="0"/>
        <w:keepLines w:val="0"/>
        <w:pageBreakBefore w:val="0"/>
        <w:widowControl w:val="0"/>
        <w:kinsoku/>
        <w:wordWrap w:val="0"/>
        <w:overflowPunct/>
        <w:topLinePunct w:val="0"/>
        <w:autoSpaceDE/>
        <w:autoSpaceDN/>
        <w:bidi w:val="0"/>
        <w:adjustRightInd w:val="0"/>
        <w:snapToGrid w:val="0"/>
        <w:spacing w:beforeLines="50" w:line="594" w:lineRule="exact"/>
        <w:jc w:val="right"/>
        <w:textAlignment w:val="auto"/>
        <w:rPr>
          <w:rFonts w:hint="default" w:ascii="黑体" w:hAnsi="宋体" w:eastAsia="黑体" w:cs="Times New Roman"/>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 xml:space="preserve">日  </w:t>
      </w:r>
    </w:p>
    <w:p w14:paraId="5F19C90C">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00CC37F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19C6B56E">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36"/>
        </w:rPr>
        <w:t>附：法定代表人身份证复印件</w:t>
      </w:r>
    </w:p>
    <w:p w14:paraId="02C67F6F">
      <w:pPr>
        <w:jc w:val="center"/>
        <w:rPr>
          <w:rFonts w:hint="eastAsia"/>
          <w:color w:val="auto"/>
        </w:rPr>
      </w:pPr>
      <w:r>
        <w:rPr>
          <w:rFonts w:hint="eastAsia" w:ascii="方正公文小标宋" w:hAnsi="方正公文小标宋" w:eastAsia="方正公文小标宋" w:cs="方正公文小标宋"/>
          <w:b w:val="0"/>
          <w:bCs w:val="0"/>
          <w:color w:val="auto"/>
          <w:sz w:val="36"/>
          <w:szCs w:val="36"/>
          <w:lang w:val="en-US" w:eastAsia="zh-CN"/>
        </w:rPr>
        <w:t>（五）法定代表人授权委托书</w:t>
      </w:r>
    </w:p>
    <w:p w14:paraId="035E216F">
      <w:pPr>
        <w:rPr>
          <w:rFonts w:hint="eastAsia"/>
          <w:color w:val="auto"/>
        </w:rPr>
      </w:pPr>
    </w:p>
    <w:p w14:paraId="5B7FCABE">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兹委托我单位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（全名）为法定代表人授权代表，参加</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项目采购活动，并全权代表我单位参加处理采购活动及洽谈签订合同的一切事宜。</w:t>
      </w:r>
    </w:p>
    <w:p w14:paraId="2E5D9126">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我单位对被授权人的签名负全部责任。</w:t>
      </w:r>
    </w:p>
    <w:p w14:paraId="23464622">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在撤销授权的书面通知以前，本授权书一直有效。被授权人签署的所有文件（在授权书有效期内的）不因授权的撤销而失效。</w:t>
      </w:r>
    </w:p>
    <w:p w14:paraId="7973960C">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46FEADA">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（签字）</w:t>
      </w:r>
    </w:p>
    <w:p w14:paraId="50F52F0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75E872D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 xml:space="preserve">日 </w:t>
      </w:r>
      <w:r>
        <w:rPr>
          <w:rFonts w:hint="eastAsia" w:ascii="方正仿宋_GB2312" w:hAnsi="方正仿宋_GB2312" w:eastAsia="方正仿宋_GB2312" w:cs="方正仿宋_GB2312"/>
          <w:color w:val="auto"/>
          <w:sz w:val="28"/>
          <w:szCs w:val="28"/>
        </w:rPr>
        <w:t xml:space="preserve">     单位（盖章）：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b/>
          <w:bCs/>
          <w:color w:val="auto"/>
          <w:sz w:val="28"/>
          <w:szCs w:val="28"/>
        </w:rPr>
        <w:t xml:space="preserve"> </w:t>
      </w:r>
    </w:p>
    <w:p w14:paraId="565F73A0">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 xml:space="preserve"> </w:t>
      </w:r>
    </w:p>
    <w:p w14:paraId="1AD6DF42">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p>
    <w:p w14:paraId="7A9296A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5ABD93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附：法定代表人授权代表情况（附身份证复印件） </w:t>
      </w:r>
    </w:p>
    <w:p w14:paraId="5CAA7EF1">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姓名</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性别</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年龄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3B19529B">
      <w:pPr>
        <w:pageBreakBefore w:val="0"/>
        <w:kinsoku/>
        <w:overflowPunct/>
        <w:topLinePunct w:val="0"/>
        <w:autoSpaceDE w:val="0"/>
        <w:autoSpaceDN w:val="0"/>
        <w:bidi w:val="0"/>
        <w:adjustRightInd w:val="0"/>
        <w:spacing w:line="594" w:lineRule="exact"/>
        <w:rPr>
          <w:rFonts w:hint="default" w:ascii="宋体" w:hAnsi="宋体" w:eastAsia="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职务</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424FD4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0A7730C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ab/>
      </w:r>
    </w:p>
    <w:p w14:paraId="1AC68F6A">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43FB77A8">
      <w:pPr>
        <w:pageBreakBefore w:val="0"/>
        <w:kinsoku/>
        <w:overflowPunct/>
        <w:topLinePunct w:val="0"/>
        <w:bidi w:val="0"/>
        <w:adjustRightInd w:val="0"/>
        <w:snapToGrid w:val="0"/>
        <w:spacing w:line="594" w:lineRule="exact"/>
        <w:jc w:val="center"/>
        <w:rPr>
          <w:rFonts w:hint="eastAsia" w:ascii="宋体" w:eastAsia="宋体"/>
          <w:b/>
          <w:bCs/>
          <w:color w:val="auto"/>
          <w:sz w:val="36"/>
          <w:szCs w:val="36"/>
          <w:lang w:eastAsia="zh-CN"/>
        </w:rPr>
      </w:pPr>
      <w:r>
        <w:rPr>
          <w:rFonts w:hint="eastAsia" w:ascii="宋体" w:hAnsi="宋体"/>
          <w:b/>
          <w:color w:val="auto"/>
          <w:sz w:val="24"/>
          <w:szCs w:val="24"/>
        </w:rPr>
        <w:br w:type="page"/>
      </w:r>
      <w:r>
        <w:rPr>
          <w:rFonts w:hint="eastAsia" w:ascii="方正公文小标宋" w:hAnsi="方正公文小标宋" w:eastAsia="方正公文小标宋" w:cs="方正公文小标宋"/>
          <w:b w:val="0"/>
          <w:bCs w:val="0"/>
          <w:color w:val="auto"/>
          <w:sz w:val="36"/>
          <w:szCs w:val="36"/>
          <w:lang w:val="en-US" w:eastAsia="zh-CN"/>
        </w:rPr>
        <w:t>（六）服务承诺及服务质量保证承诺函</w:t>
      </w:r>
    </w:p>
    <w:p w14:paraId="7F33321D">
      <w:pPr>
        <w:pageBreakBefore w:val="0"/>
        <w:kinsoku/>
        <w:overflowPunct/>
        <w:topLinePunct w:val="0"/>
        <w:bidi w:val="0"/>
        <w:adjustRightInd w:val="0"/>
        <w:snapToGrid w:val="0"/>
        <w:spacing w:line="594" w:lineRule="exact"/>
        <w:jc w:val="center"/>
        <w:rPr>
          <w:rFonts w:hint="eastAsia" w:ascii="宋体"/>
          <w:b w:val="0"/>
          <w:bCs w:val="0"/>
          <w:color w:val="auto"/>
          <w:sz w:val="28"/>
          <w:szCs w:val="28"/>
        </w:rPr>
      </w:pPr>
      <w:r>
        <w:rPr>
          <w:rFonts w:hint="eastAsia" w:ascii="方正仿宋_GB2312" w:hAnsi="方正仿宋_GB2312" w:eastAsia="方正仿宋_GB2312" w:cs="方正仿宋_GB2312"/>
          <w:b w:val="0"/>
          <w:bCs w:val="0"/>
          <w:color w:val="auto"/>
          <w:sz w:val="28"/>
          <w:szCs w:val="28"/>
        </w:rPr>
        <w:t>（投标单位自行编制）</w:t>
      </w:r>
    </w:p>
    <w:p w14:paraId="5BF60B05">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0AD6E2DD">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1C2FF4E">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F73F958">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318C40">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CD0071">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10E24CF4">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7C464583">
      <w:pPr>
        <w:pStyle w:val="18"/>
        <w:pageBreakBefore w:val="0"/>
        <w:kinsoku/>
        <w:overflowPunct/>
        <w:topLinePunct w:val="0"/>
        <w:bidi w:val="0"/>
        <w:spacing w:line="594" w:lineRule="exact"/>
        <w:rPr>
          <w:rFonts w:hint="eastAsia" w:ascii="宋体"/>
          <w:b/>
          <w:bCs/>
          <w:color w:val="auto"/>
        </w:rPr>
      </w:pPr>
    </w:p>
    <w:p w14:paraId="174AE8D7">
      <w:pPr>
        <w:pStyle w:val="5"/>
        <w:pageBreakBefore w:val="0"/>
        <w:kinsoku/>
        <w:overflowPunct/>
        <w:topLinePunct w:val="0"/>
        <w:bidi w:val="0"/>
        <w:spacing w:line="594" w:lineRule="exact"/>
        <w:rPr>
          <w:rFonts w:hint="eastAsia" w:ascii="宋体"/>
          <w:b/>
          <w:bCs/>
          <w:color w:val="auto"/>
        </w:rPr>
      </w:pPr>
    </w:p>
    <w:p w14:paraId="0179E8CC">
      <w:pPr>
        <w:pStyle w:val="22"/>
        <w:pageBreakBefore w:val="0"/>
        <w:kinsoku/>
        <w:overflowPunct/>
        <w:topLinePunct w:val="0"/>
        <w:bidi w:val="0"/>
        <w:spacing w:line="594" w:lineRule="exact"/>
        <w:rPr>
          <w:rFonts w:hint="eastAsia" w:ascii="宋体"/>
          <w:b/>
          <w:bCs/>
          <w:color w:val="auto"/>
        </w:rPr>
      </w:pPr>
    </w:p>
    <w:p w14:paraId="61F17DC8">
      <w:pPr>
        <w:pStyle w:val="22"/>
        <w:pageBreakBefore w:val="0"/>
        <w:kinsoku/>
        <w:overflowPunct/>
        <w:topLinePunct w:val="0"/>
        <w:bidi w:val="0"/>
        <w:spacing w:line="594" w:lineRule="exact"/>
        <w:rPr>
          <w:rFonts w:hint="eastAsia" w:ascii="宋体"/>
          <w:b/>
          <w:bCs/>
          <w:color w:val="auto"/>
        </w:rPr>
      </w:pPr>
    </w:p>
    <w:p w14:paraId="72E3F380">
      <w:pPr>
        <w:pStyle w:val="22"/>
        <w:pageBreakBefore w:val="0"/>
        <w:kinsoku/>
        <w:overflowPunct/>
        <w:topLinePunct w:val="0"/>
        <w:bidi w:val="0"/>
        <w:spacing w:line="594" w:lineRule="exact"/>
        <w:rPr>
          <w:rFonts w:hint="eastAsia" w:ascii="宋体"/>
          <w:b/>
          <w:bCs/>
          <w:color w:val="auto"/>
        </w:rPr>
      </w:pPr>
    </w:p>
    <w:p w14:paraId="4256F304">
      <w:pPr>
        <w:pStyle w:val="22"/>
        <w:pageBreakBefore w:val="0"/>
        <w:kinsoku/>
        <w:overflowPunct/>
        <w:topLinePunct w:val="0"/>
        <w:bidi w:val="0"/>
        <w:spacing w:line="594" w:lineRule="exact"/>
        <w:rPr>
          <w:rFonts w:hint="eastAsia" w:ascii="宋体"/>
          <w:b/>
          <w:bCs/>
          <w:color w:val="auto"/>
        </w:rPr>
      </w:pPr>
    </w:p>
    <w:p w14:paraId="10F03E09">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6D1E7FE2">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4B762A91">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BF45442">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供应商（盖单位章）：</w:t>
      </w:r>
    </w:p>
    <w:p w14:paraId="7AC2CD3D">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法定代表人或其委托代理人签字：</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46D838A">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81EC98D">
      <w:pPr>
        <w:pageBreakBefore w:val="0"/>
        <w:kinsoku/>
        <w:overflowPunct/>
        <w:topLinePunct w:val="0"/>
        <w:bidi w:val="0"/>
        <w:adjustRightInd w:val="0"/>
        <w:snapToGrid w:val="0"/>
        <w:spacing w:line="594" w:lineRule="exact"/>
        <w:jc w:val="center"/>
        <w:rPr>
          <w:rFonts w:hint="eastAsia" w:ascii="宋体" w:hAnsi="宋体"/>
          <w:color w:val="auto"/>
          <w:sz w:val="24"/>
          <w:szCs w:val="24"/>
        </w:rPr>
      </w:pPr>
      <w:r>
        <w:rPr>
          <w:rFonts w:hint="eastAsia" w:ascii="方正公文小标宋" w:hAnsi="方正公文小标宋" w:eastAsia="方正公文小标宋" w:cs="方正公文小标宋"/>
          <w:b w:val="0"/>
          <w:bCs w:val="0"/>
          <w:color w:val="auto"/>
          <w:sz w:val="36"/>
          <w:szCs w:val="36"/>
          <w:lang w:val="en-US" w:eastAsia="zh-CN"/>
        </w:rPr>
        <w:t>（七）报价承诺函</w:t>
      </w:r>
    </w:p>
    <w:p w14:paraId="4A39824B">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w:t>
      </w:r>
    </w:p>
    <w:p w14:paraId="4DB4E2FD">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我方收到项目名称为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文件。经详细研究，决定参加该项目的竞争，并作</w:t>
      </w:r>
      <w:r>
        <w:rPr>
          <w:rFonts w:hint="eastAsia" w:ascii="方正仿宋_GB2312" w:hAnsi="方正仿宋_GB2312" w:eastAsia="方正仿宋_GB2312" w:cs="方正仿宋_GB2312"/>
          <w:color w:val="auto"/>
          <w:sz w:val="28"/>
          <w:szCs w:val="28"/>
          <w:lang w:val="en-US" w:eastAsia="zh-CN"/>
        </w:rPr>
        <w:t>如</w:t>
      </w:r>
      <w:r>
        <w:rPr>
          <w:rFonts w:hint="eastAsia" w:ascii="方正仿宋_GB2312" w:hAnsi="方正仿宋_GB2312" w:eastAsia="方正仿宋_GB2312" w:cs="方正仿宋_GB2312"/>
          <w:color w:val="auto"/>
          <w:sz w:val="28"/>
          <w:szCs w:val="28"/>
        </w:rPr>
        <w:t>下承诺：</w:t>
      </w:r>
    </w:p>
    <w:p w14:paraId="0662578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（一）完全理解和</w:t>
      </w:r>
      <w:r>
        <w:rPr>
          <w:rFonts w:hint="eastAsia" w:ascii="方正仿宋_GB2312" w:hAnsi="方正仿宋_GB2312" w:eastAsia="方正仿宋_GB2312" w:cs="方正仿宋_GB2312"/>
          <w:color w:val="auto"/>
          <w:sz w:val="28"/>
          <w:szCs w:val="28"/>
          <w:lang w:eastAsia="zh-CN"/>
        </w:rPr>
        <w:t>响应比选</w:t>
      </w:r>
      <w:r>
        <w:rPr>
          <w:rFonts w:hint="eastAsia" w:ascii="方正仿宋_GB2312" w:hAnsi="方正仿宋_GB2312" w:eastAsia="方正仿宋_GB2312" w:cs="方正仿宋_GB2312"/>
          <w:color w:val="auto"/>
          <w:sz w:val="28"/>
          <w:szCs w:val="28"/>
        </w:rPr>
        <w:t>文件的一切规定和要求；</w:t>
      </w:r>
    </w:p>
    <w:p w14:paraId="7E4653D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（二）若成交，我方将按照</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文件的具体规定签订合同，并且严格履行合同义务，按时</w:t>
      </w:r>
      <w:r>
        <w:rPr>
          <w:rFonts w:hint="eastAsia" w:ascii="方正仿宋_GB2312" w:hAnsi="方正仿宋_GB2312" w:eastAsia="方正仿宋_GB2312" w:cs="方正仿宋_GB2312"/>
          <w:color w:val="auto"/>
          <w:sz w:val="28"/>
          <w:szCs w:val="28"/>
          <w:lang w:eastAsia="zh-CN"/>
        </w:rPr>
        <w:t>履约</w:t>
      </w:r>
      <w:r>
        <w:rPr>
          <w:rFonts w:hint="eastAsia" w:ascii="方正仿宋_GB2312" w:hAnsi="方正仿宋_GB2312" w:eastAsia="方正仿宋_GB2312" w:cs="方正仿宋_GB2312"/>
          <w:color w:val="auto"/>
          <w:sz w:val="28"/>
          <w:szCs w:val="28"/>
        </w:rPr>
        <w:t>。如果在合同执行过程中，发现问题，我方一定尽快整改，并承担相应的经济责任；</w:t>
      </w:r>
    </w:p>
    <w:p w14:paraId="1357455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（三）我公司所投产品完全满足</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的要求；</w:t>
      </w:r>
    </w:p>
    <w:p w14:paraId="4E2A031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（四）在整个报价过程中，我方若有违规行为，贵方可按</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文件和《中华人民共和国政府采购法》之规定给予</w:t>
      </w:r>
      <w:r>
        <w:rPr>
          <w:rFonts w:hint="eastAsia" w:ascii="方正仿宋_GB2312" w:hAnsi="方正仿宋_GB2312" w:eastAsia="方正仿宋_GB2312" w:cs="方正仿宋_GB2312"/>
          <w:color w:val="auto"/>
          <w:sz w:val="28"/>
          <w:szCs w:val="28"/>
          <w:lang w:val="en-US" w:eastAsia="zh-CN"/>
        </w:rPr>
        <w:t>处罚</w:t>
      </w:r>
      <w:r>
        <w:rPr>
          <w:rFonts w:hint="eastAsia" w:ascii="方正仿宋_GB2312" w:hAnsi="方正仿宋_GB2312" w:eastAsia="方正仿宋_GB2312" w:cs="方正仿宋_GB2312"/>
          <w:color w:val="auto"/>
          <w:sz w:val="28"/>
          <w:szCs w:val="28"/>
        </w:rPr>
        <w:t>，我方完全接受；</w:t>
      </w:r>
    </w:p>
    <w:p w14:paraId="2B3015FE">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（五）若成交，本承诺函将成为合同不可分割的一部分，与合同具有同等的法律效力。</w:t>
      </w:r>
    </w:p>
    <w:p w14:paraId="459DA70C">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285EE294">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65BF154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报价人（公章）</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 xml:space="preserve">            </w:t>
      </w:r>
    </w:p>
    <w:p w14:paraId="0A72F1C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lang w:val="en-US" w:eastAsia="zh-CN"/>
        </w:rPr>
        <w:t xml:space="preserve">                    </w:t>
      </w:r>
    </w:p>
    <w:p w14:paraId="203B5867">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电</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传真：</w:t>
      </w:r>
      <w:r>
        <w:rPr>
          <w:rFonts w:hint="eastAsia" w:ascii="方正仿宋_GB2312" w:hAnsi="方正仿宋_GB2312" w:eastAsia="方正仿宋_GB2312" w:cs="方正仿宋_GB2312"/>
          <w:color w:val="auto"/>
          <w:sz w:val="28"/>
          <w:szCs w:val="28"/>
          <w:u w:val="single"/>
          <w:lang w:val="en-US" w:eastAsia="zh-CN"/>
        </w:rPr>
        <w:t xml:space="preserve">                   </w:t>
      </w:r>
    </w:p>
    <w:p w14:paraId="0B8FBF62">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网</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邮编：</w:t>
      </w:r>
      <w:r>
        <w:rPr>
          <w:rFonts w:hint="eastAsia" w:ascii="方正仿宋_GB2312" w:hAnsi="方正仿宋_GB2312" w:eastAsia="方正仿宋_GB2312" w:cs="方正仿宋_GB2312"/>
          <w:color w:val="auto"/>
          <w:sz w:val="28"/>
          <w:szCs w:val="28"/>
          <w:u w:val="single"/>
          <w:lang w:val="en-US" w:eastAsia="zh-CN"/>
        </w:rPr>
        <w:t xml:space="preserve">                   </w:t>
      </w:r>
    </w:p>
    <w:p w14:paraId="5C416A30">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p>
    <w:p w14:paraId="66ABCF64">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u w:val="none"/>
          <w:lang w:val="en-US" w:eastAsia="zh-CN"/>
        </w:rPr>
        <w:t>日  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20EAA15E">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（八）报价一览表</w:t>
      </w:r>
    </w:p>
    <w:p w14:paraId="10702337">
      <w:pPr>
        <w:pageBreakBefore w:val="0"/>
        <w:kinsoku/>
        <w:overflowPunct/>
        <w:topLinePunct w:val="0"/>
        <w:bidi w:val="0"/>
        <w:spacing w:line="594" w:lineRule="exact"/>
        <w:rPr>
          <w:rFonts w:hint="default" w:ascii="宋体" w:hAnsi="宋体" w:eastAsiaTheme="minorEastAsia"/>
          <w:color w:val="auto"/>
          <w:sz w:val="28"/>
          <w:szCs w:val="28"/>
          <w:u w:val="single"/>
          <w:lang w:val="en-US" w:eastAsia="zh-CN"/>
        </w:rPr>
      </w:pPr>
      <w:r>
        <w:rPr>
          <w:rFonts w:hint="eastAsia" w:ascii="方正仿宋_GB2312" w:hAnsi="方正仿宋_GB2312" w:eastAsia="方正仿宋_GB2312" w:cs="方正仿宋_GB2312"/>
          <w:color w:val="auto"/>
          <w:sz w:val="32"/>
          <w:szCs w:val="32"/>
        </w:rPr>
        <w:t>投标人全称：</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tbl>
      <w:tblPr>
        <w:tblStyle w:val="1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77"/>
        <w:gridCol w:w="1605"/>
        <w:gridCol w:w="2818"/>
      </w:tblGrid>
      <w:tr w14:paraId="11262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6D7F766A">
            <w:pPr>
              <w:jc w:val="center"/>
              <w:rPr>
                <w:rFonts w:hint="eastAsia"/>
                <w:lang w:val="en-US" w:eastAsia="zh-CN"/>
              </w:rPr>
            </w:pPr>
            <w:r>
              <w:rPr>
                <w:rFonts w:hint="eastAsia"/>
                <w:lang w:val="en-US" w:eastAsia="zh-CN"/>
              </w:rPr>
              <w:t>项目名称</w:t>
            </w:r>
          </w:p>
        </w:tc>
        <w:tc>
          <w:tcPr>
            <w:tcW w:w="7200" w:type="dxa"/>
            <w:gridSpan w:val="3"/>
            <w:tcBorders>
              <w:top w:val="double" w:color="auto" w:sz="4" w:space="0"/>
              <w:left w:val="single" w:color="auto" w:sz="6" w:space="0"/>
              <w:bottom w:val="single" w:color="auto" w:sz="6" w:space="0"/>
              <w:right w:val="double" w:color="auto" w:sz="4" w:space="0"/>
            </w:tcBorders>
            <w:noWrap w:val="0"/>
            <w:vAlign w:val="center"/>
          </w:tcPr>
          <w:p w14:paraId="4B13AA7A">
            <w:pPr>
              <w:rPr>
                <w:rFonts w:hint="eastAsia"/>
                <w:lang w:val="en-US" w:eastAsia="zh-CN"/>
              </w:rPr>
            </w:pPr>
          </w:p>
        </w:tc>
      </w:tr>
      <w:tr w14:paraId="71D33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535CE008">
            <w:pPr>
              <w:jc w:val="center"/>
              <w:rPr>
                <w:rFonts w:hint="eastAsia"/>
                <w:lang w:val="en-US" w:eastAsia="zh-CN"/>
              </w:rPr>
            </w:pPr>
            <w:r>
              <w:rPr>
                <w:rFonts w:hint="eastAsia"/>
                <w:lang w:val="en-US" w:eastAsia="zh-CN"/>
              </w:rPr>
              <w:t>采购项目</w:t>
            </w:r>
          </w:p>
          <w:p w14:paraId="1C527800">
            <w:pPr>
              <w:jc w:val="center"/>
              <w:rPr>
                <w:rFonts w:hint="default"/>
                <w:lang w:val="en-US" w:eastAsia="zh-CN"/>
              </w:rPr>
            </w:pPr>
            <w:r>
              <w:rPr>
                <w:rFonts w:hint="eastAsia"/>
                <w:lang w:val="en-US" w:eastAsia="zh-CN"/>
              </w:rPr>
              <w:t>编号</w:t>
            </w:r>
          </w:p>
        </w:tc>
        <w:tc>
          <w:tcPr>
            <w:tcW w:w="2777" w:type="dxa"/>
            <w:tcBorders>
              <w:top w:val="double" w:color="auto" w:sz="4" w:space="0"/>
              <w:left w:val="single" w:color="auto" w:sz="6" w:space="0"/>
              <w:bottom w:val="single" w:color="auto" w:sz="6" w:space="0"/>
              <w:right w:val="single" w:color="auto" w:sz="6" w:space="0"/>
            </w:tcBorders>
            <w:noWrap w:val="0"/>
            <w:vAlign w:val="center"/>
          </w:tcPr>
          <w:p w14:paraId="29D8A5BB">
            <w:pPr>
              <w:rPr>
                <w:rFonts w:hint="eastAsia"/>
                <w:lang w:val="en-US" w:eastAsia="zh-CN"/>
              </w:rPr>
            </w:pPr>
          </w:p>
        </w:tc>
        <w:tc>
          <w:tcPr>
            <w:tcW w:w="1605" w:type="dxa"/>
            <w:tcBorders>
              <w:top w:val="double" w:color="auto" w:sz="4" w:space="0"/>
              <w:left w:val="single" w:color="auto" w:sz="6" w:space="0"/>
              <w:right w:val="single" w:color="auto" w:sz="6" w:space="0"/>
            </w:tcBorders>
            <w:noWrap w:val="0"/>
            <w:vAlign w:val="center"/>
          </w:tcPr>
          <w:p w14:paraId="485BAB7E">
            <w:pPr>
              <w:jc w:val="center"/>
              <w:rPr>
                <w:rFonts w:hint="eastAsia"/>
                <w:lang w:val="en-US" w:eastAsia="zh-CN"/>
              </w:rPr>
            </w:pPr>
            <w:r>
              <w:rPr>
                <w:rFonts w:hint="eastAsia"/>
                <w:lang w:val="en-US" w:eastAsia="zh-CN"/>
              </w:rPr>
              <w:t>项目主要</w:t>
            </w:r>
          </w:p>
          <w:p w14:paraId="2849F4FD">
            <w:pPr>
              <w:jc w:val="center"/>
              <w:rPr>
                <w:rFonts w:hint="eastAsia"/>
                <w:lang w:val="en-US" w:eastAsia="zh-CN"/>
              </w:rPr>
            </w:pPr>
            <w:r>
              <w:rPr>
                <w:rFonts w:hint="eastAsia"/>
                <w:lang w:val="en-US" w:eastAsia="zh-CN"/>
              </w:rPr>
              <w:t>负责人</w:t>
            </w:r>
          </w:p>
        </w:tc>
        <w:tc>
          <w:tcPr>
            <w:tcW w:w="2818" w:type="dxa"/>
            <w:tcBorders>
              <w:top w:val="double" w:color="auto" w:sz="4" w:space="0"/>
              <w:left w:val="single" w:color="auto" w:sz="6" w:space="0"/>
              <w:bottom w:val="single" w:color="auto" w:sz="6" w:space="0"/>
              <w:right w:val="double" w:color="auto" w:sz="4" w:space="0"/>
            </w:tcBorders>
            <w:noWrap w:val="0"/>
            <w:vAlign w:val="center"/>
          </w:tcPr>
          <w:p w14:paraId="0B639256">
            <w:pPr>
              <w:rPr>
                <w:rFonts w:hint="eastAsia"/>
                <w:lang w:val="en-US" w:eastAsia="zh-CN"/>
              </w:rPr>
            </w:pPr>
          </w:p>
        </w:tc>
      </w:tr>
      <w:tr w14:paraId="30782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620" w:type="dxa"/>
            <w:tcBorders>
              <w:top w:val="single" w:color="auto" w:sz="6" w:space="0"/>
              <w:left w:val="double" w:color="auto" w:sz="4" w:space="0"/>
              <w:right w:val="single" w:color="auto" w:sz="6" w:space="0"/>
            </w:tcBorders>
            <w:shd w:val="clear" w:color="auto" w:fill="auto"/>
            <w:noWrap w:val="0"/>
            <w:vAlign w:val="center"/>
          </w:tcPr>
          <w:p w14:paraId="4C3B25EC">
            <w:pPr>
              <w:jc w:val="center"/>
              <w:rPr>
                <w:rFonts w:hint="eastAsia" w:ascii="方正仿宋_GB2312" w:hAnsi="方正仿宋_GB2312" w:eastAsia="方正仿宋_GB2312" w:cs="方正仿宋_GB2312"/>
                <w:color w:val="auto"/>
                <w:kern w:val="2"/>
                <w:sz w:val="24"/>
                <w:szCs w:val="24"/>
                <w:lang w:val="en-US" w:eastAsia="zh-CN" w:bidi="ar-SA"/>
              </w:rPr>
            </w:pPr>
            <w:r>
              <w:rPr>
                <w:rFonts w:hint="eastAsia"/>
                <w:lang w:val="en-US" w:eastAsia="zh-CN"/>
              </w:rPr>
              <w:t>投标报价</w:t>
            </w:r>
          </w:p>
        </w:tc>
        <w:tc>
          <w:tcPr>
            <w:tcW w:w="7200" w:type="dxa"/>
            <w:gridSpan w:val="3"/>
            <w:tcBorders>
              <w:top w:val="single" w:color="auto" w:sz="6" w:space="0"/>
              <w:left w:val="single" w:color="auto" w:sz="6" w:space="0"/>
              <w:bottom w:val="single" w:color="auto" w:sz="6" w:space="0"/>
              <w:right w:val="double" w:color="auto" w:sz="4" w:space="0"/>
            </w:tcBorders>
            <w:shd w:val="clear" w:color="auto" w:fill="auto"/>
            <w:noWrap w:val="0"/>
            <w:vAlign w:val="center"/>
          </w:tcPr>
          <w:p w14:paraId="4C36E3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r>
              <w:rPr>
                <w:rFonts w:hint="eastAsia"/>
                <w:lang w:val="en-US" w:eastAsia="zh-CN"/>
              </w:rPr>
              <w:t>大写：</w:t>
            </w:r>
            <w:r>
              <w:rPr>
                <w:rFonts w:hint="eastAsia"/>
                <w:u w:val="single"/>
                <w:lang w:val="en-US" w:eastAsia="zh-CN"/>
              </w:rPr>
              <w:t xml:space="preserve">                    </w:t>
            </w:r>
            <w:r>
              <w:rPr>
                <w:rFonts w:hint="eastAsia"/>
                <w:lang w:val="en-US" w:eastAsia="zh-CN"/>
              </w:rPr>
              <w:t>元人民币整</w:t>
            </w:r>
          </w:p>
          <w:p w14:paraId="613B37AC">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kern w:val="2"/>
                <w:sz w:val="28"/>
                <w:szCs w:val="28"/>
                <w:lang w:val="en-US" w:eastAsia="zh-CN" w:bidi="ar-SA"/>
              </w:rPr>
            </w:pPr>
            <w:r>
              <w:rPr>
                <w:rFonts w:hint="eastAsia"/>
                <w:lang w:val="en-US" w:eastAsia="zh-CN"/>
              </w:rPr>
              <w:t>小写：</w:t>
            </w:r>
            <w:r>
              <w:rPr>
                <w:rFonts w:hint="eastAsia"/>
                <w:u w:val="single"/>
                <w:lang w:val="en-US" w:eastAsia="zh-CN"/>
              </w:rPr>
              <w:t xml:space="preserve">                    </w:t>
            </w:r>
            <w:r>
              <w:rPr>
                <w:rFonts w:hint="eastAsia"/>
                <w:lang w:val="en-US" w:eastAsia="zh-CN"/>
              </w:rPr>
              <w:t>元人民币整</w:t>
            </w:r>
          </w:p>
        </w:tc>
      </w:tr>
      <w:tr w14:paraId="65BCB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6A580A5F">
            <w:pPr>
              <w:jc w:val="center"/>
              <w:rPr>
                <w:rFonts w:hint="eastAsia"/>
                <w:lang w:val="en-US" w:eastAsia="zh-CN"/>
              </w:rPr>
            </w:pPr>
            <w:r>
              <w:rPr>
                <w:rFonts w:hint="eastAsia"/>
                <w:lang w:val="en-US" w:eastAsia="zh-CN"/>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0D08A9EA">
            <w:pPr>
              <w:rPr>
                <w:rFonts w:hint="eastAsia"/>
                <w:lang w:val="en-US" w:eastAsia="zh-CN"/>
              </w:rPr>
            </w:pPr>
          </w:p>
        </w:tc>
      </w:tr>
    </w:tbl>
    <w:p w14:paraId="1E22057A">
      <w:pPr>
        <w:pageBreakBefore w:val="0"/>
        <w:kinsoku/>
        <w:overflowPunct/>
        <w:topLinePunct w:val="0"/>
        <w:bidi w:val="0"/>
        <w:spacing w:line="594" w:lineRule="exact"/>
        <w:rPr>
          <w:rFonts w:hint="eastAsia" w:ascii="宋体" w:hAnsi="宋体"/>
          <w:color w:val="auto"/>
          <w:sz w:val="28"/>
          <w:szCs w:val="28"/>
        </w:rPr>
      </w:pPr>
    </w:p>
    <w:p w14:paraId="5EC923D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21C04DC5">
      <w:pPr>
        <w:pageBreakBefore w:val="0"/>
        <w:kinsoku/>
        <w:overflowPunct/>
        <w:topLinePunct w:val="0"/>
        <w:bidi w:val="0"/>
        <w:spacing w:line="594" w:lineRule="exact"/>
        <w:ind w:firstLine="280" w:firstLine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                            法人授权代表：</w:t>
      </w:r>
    </w:p>
    <w:p w14:paraId="35EC731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4CBA7363">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（投标人公章）                           （签章）</w:t>
      </w:r>
    </w:p>
    <w:p w14:paraId="617B5E5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696F79B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01D9FC77">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备注：</w:t>
      </w:r>
    </w:p>
    <w:p w14:paraId="3236B4BD">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1、报价一览表的投标报价(含</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文件中第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中要求的所有内容，包括运输、税费、人工工资</w:t>
      </w:r>
      <w:r>
        <w:rPr>
          <w:rFonts w:hint="eastAsia" w:ascii="方正仿宋_GB2312" w:hAnsi="方正仿宋_GB2312" w:eastAsia="方正仿宋_GB2312" w:cs="方正仿宋_GB2312"/>
          <w:color w:val="auto"/>
          <w:sz w:val="28"/>
          <w:szCs w:val="28"/>
          <w:lang w:val="en-US" w:eastAsia="zh-CN"/>
        </w:rPr>
        <w:t>等</w:t>
      </w:r>
      <w:r>
        <w:rPr>
          <w:rFonts w:hint="eastAsia" w:ascii="方正仿宋_GB2312" w:hAnsi="方正仿宋_GB2312" w:eastAsia="方正仿宋_GB2312" w:cs="方正仿宋_GB2312"/>
          <w:color w:val="auto"/>
          <w:sz w:val="28"/>
          <w:szCs w:val="28"/>
        </w:rPr>
        <w:t>，不另计费)；</w:t>
      </w:r>
    </w:p>
    <w:p w14:paraId="245837A1">
      <w:pPr>
        <w:pageBreakBefore w:val="0"/>
        <w:kinsoku/>
        <w:overflowPunct/>
        <w:topLinePunct w:val="0"/>
        <w:bidi w:val="0"/>
        <w:spacing w:line="594" w:lineRule="exact"/>
        <w:ind w:firstLine="560" w:firstLineChars="200"/>
        <w:rPr>
          <w:rFonts w:hint="eastAsia" w:ascii="宋体" w:hAnsi="宋体"/>
          <w:b/>
          <w:color w:val="auto"/>
          <w:sz w:val="28"/>
          <w:szCs w:val="28"/>
        </w:rPr>
      </w:pPr>
      <w:r>
        <w:rPr>
          <w:rFonts w:hint="eastAsia" w:ascii="方正仿宋_GB2312" w:hAnsi="方正仿宋_GB2312" w:eastAsia="方正仿宋_GB2312" w:cs="方正仿宋_GB2312"/>
          <w:color w:val="auto"/>
          <w:sz w:val="28"/>
          <w:szCs w:val="28"/>
        </w:rPr>
        <w:t>2、报价一览表务必填写清楚，准确无误</w:t>
      </w:r>
      <w:r>
        <w:rPr>
          <w:rFonts w:hint="eastAsia" w:ascii="方正仿宋_GB2312" w:hAnsi="方正仿宋_GB2312" w:eastAsia="方正仿宋_GB2312" w:cs="方正仿宋_GB2312"/>
          <w:color w:val="auto"/>
          <w:sz w:val="28"/>
          <w:szCs w:val="28"/>
          <w:lang w:eastAsia="zh-CN"/>
        </w:rPr>
        <w:t>。</w:t>
      </w:r>
      <w:r>
        <w:rPr>
          <w:rFonts w:hint="eastAsia" w:ascii="宋体" w:hAnsi="宋体"/>
          <w:b/>
          <w:color w:val="auto"/>
          <w:sz w:val="28"/>
          <w:szCs w:val="28"/>
        </w:rPr>
        <w:br w:type="page"/>
      </w:r>
      <w:bookmarkStart w:id="19" w:name="_Toc396919502"/>
      <w:bookmarkEnd w:id="19"/>
    </w:p>
    <w:p w14:paraId="47CBE6E2">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（九）分项报价明细表</w:t>
      </w:r>
    </w:p>
    <w:p w14:paraId="44198D0F">
      <w:pPr>
        <w:pageBreakBefore w:val="0"/>
        <w:kinsoku/>
        <w:overflowPunct/>
        <w:topLinePunct w:val="0"/>
        <w:bidi w:val="0"/>
        <w:spacing w:line="594" w:lineRule="exac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采购项目编号</w:t>
      </w:r>
      <w:r>
        <w:rPr>
          <w:rFonts w:hint="eastAsia" w:ascii="方正仿宋_GB2312" w:hAnsi="方正仿宋_GB2312" w:eastAsia="方正仿宋_GB2312" w:cs="方正仿宋_GB2312"/>
          <w:color w:val="auto"/>
          <w:sz w:val="32"/>
          <w:szCs w:val="32"/>
        </w:rPr>
        <w:t>：                   项目名称：</w:t>
      </w:r>
    </w:p>
    <w:tbl>
      <w:tblPr>
        <w:tblStyle w:val="19"/>
        <w:tblpPr w:leftFromText="180" w:rightFromText="180" w:vertAnchor="text" w:horzAnchor="page" w:tblpX="1630" w:tblpY="161"/>
        <w:tblOverlap w:val="never"/>
        <w:tblW w:w="91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05"/>
        <w:gridCol w:w="2610"/>
        <w:gridCol w:w="735"/>
        <w:gridCol w:w="735"/>
        <w:gridCol w:w="1065"/>
        <w:gridCol w:w="1287"/>
      </w:tblGrid>
      <w:tr w14:paraId="586534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5" w:type="dxa"/>
            <w:vMerge w:val="restart"/>
            <w:vAlign w:val="center"/>
          </w:tcPr>
          <w:p w14:paraId="0D73109F">
            <w:pPr>
              <w:pageBreakBefore w:val="0"/>
              <w:kinsoku/>
              <w:overflowPunct/>
              <w:topLinePunct w:val="0"/>
              <w:bidi w:val="0"/>
              <w:spacing w:line="594" w:lineRule="exact"/>
              <w:jc w:val="center"/>
              <w:rPr>
                <w:rFonts w:hint="eastAsia"/>
                <w:color w:val="auto"/>
              </w:rPr>
            </w:pPr>
            <w:r>
              <w:rPr>
                <w:rFonts w:hint="eastAsia"/>
                <w:color w:val="auto"/>
              </w:rPr>
              <w:t>序号</w:t>
            </w:r>
          </w:p>
        </w:tc>
        <w:tc>
          <w:tcPr>
            <w:tcW w:w="2205" w:type="dxa"/>
            <w:vMerge w:val="restart"/>
            <w:vAlign w:val="center"/>
          </w:tcPr>
          <w:p w14:paraId="00564F4F">
            <w:pPr>
              <w:pageBreakBefore w:val="0"/>
              <w:kinsoku/>
              <w:overflowPunct/>
              <w:topLinePunct w:val="0"/>
              <w:bidi w:val="0"/>
              <w:spacing w:line="594" w:lineRule="exact"/>
              <w:jc w:val="center"/>
              <w:rPr>
                <w:rFonts w:hint="default"/>
                <w:color w:val="auto"/>
                <w:lang w:val="en-US" w:eastAsia="zh-CN"/>
              </w:rPr>
            </w:pPr>
            <w:r>
              <w:rPr>
                <w:rFonts w:hint="eastAsia"/>
                <w:color w:val="auto"/>
              </w:rPr>
              <w:t>项目名称</w:t>
            </w:r>
          </w:p>
        </w:tc>
        <w:tc>
          <w:tcPr>
            <w:tcW w:w="2610" w:type="dxa"/>
            <w:vMerge w:val="restart"/>
            <w:vAlign w:val="center"/>
          </w:tcPr>
          <w:p w14:paraId="5F77D383">
            <w:pPr>
              <w:pageBreakBefore w:val="0"/>
              <w:kinsoku/>
              <w:overflowPunct/>
              <w:topLinePunct w:val="0"/>
              <w:bidi w:val="0"/>
              <w:spacing w:line="594" w:lineRule="exact"/>
              <w:jc w:val="center"/>
              <w:rPr>
                <w:rFonts w:hint="default"/>
                <w:color w:val="auto"/>
                <w:lang w:val="en-US"/>
              </w:rPr>
            </w:pPr>
            <w:r>
              <w:rPr>
                <w:rFonts w:hint="eastAsia"/>
                <w:color w:val="auto"/>
                <w:lang w:val="en-US" w:eastAsia="zh-CN"/>
              </w:rPr>
              <w:t>服务标准</w:t>
            </w:r>
          </w:p>
        </w:tc>
        <w:tc>
          <w:tcPr>
            <w:tcW w:w="735" w:type="dxa"/>
            <w:vMerge w:val="restart"/>
            <w:vAlign w:val="center"/>
          </w:tcPr>
          <w:p w14:paraId="40FEF603">
            <w:pPr>
              <w:pageBreakBefore w:val="0"/>
              <w:kinsoku/>
              <w:overflowPunct/>
              <w:topLinePunct w:val="0"/>
              <w:bidi w:val="0"/>
              <w:spacing w:line="594" w:lineRule="exact"/>
              <w:jc w:val="center"/>
              <w:rPr>
                <w:rFonts w:hint="eastAsia" w:eastAsiaTheme="minorEastAsia"/>
                <w:color w:val="auto"/>
                <w:lang w:val="en-US" w:eastAsia="zh-CN"/>
              </w:rPr>
            </w:pPr>
            <w:r>
              <w:rPr>
                <w:rFonts w:hint="eastAsia"/>
                <w:color w:val="auto"/>
              </w:rPr>
              <w:t>单位</w:t>
            </w:r>
          </w:p>
        </w:tc>
        <w:tc>
          <w:tcPr>
            <w:tcW w:w="735" w:type="dxa"/>
            <w:vMerge w:val="restart"/>
            <w:vAlign w:val="center"/>
          </w:tcPr>
          <w:p w14:paraId="455CB0A1">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数量</w:t>
            </w:r>
          </w:p>
        </w:tc>
        <w:tc>
          <w:tcPr>
            <w:tcW w:w="2352" w:type="dxa"/>
            <w:gridSpan w:val="2"/>
            <w:vAlign w:val="center"/>
          </w:tcPr>
          <w:p w14:paraId="5A834DDD">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报价</w:t>
            </w:r>
          </w:p>
        </w:tc>
      </w:tr>
      <w:tr w14:paraId="585C3B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95" w:type="dxa"/>
            <w:vMerge w:val="continue"/>
            <w:vAlign w:val="center"/>
          </w:tcPr>
          <w:p w14:paraId="439CE7EF">
            <w:pPr>
              <w:pageBreakBefore w:val="0"/>
              <w:kinsoku/>
              <w:overflowPunct/>
              <w:topLinePunct w:val="0"/>
              <w:bidi w:val="0"/>
              <w:spacing w:line="594" w:lineRule="exact"/>
              <w:jc w:val="center"/>
              <w:rPr>
                <w:rFonts w:hint="eastAsia"/>
                <w:color w:val="auto"/>
              </w:rPr>
            </w:pPr>
          </w:p>
        </w:tc>
        <w:tc>
          <w:tcPr>
            <w:tcW w:w="2205" w:type="dxa"/>
            <w:vMerge w:val="continue"/>
            <w:vAlign w:val="center"/>
          </w:tcPr>
          <w:p w14:paraId="4C8948ED">
            <w:pPr>
              <w:pageBreakBefore w:val="0"/>
              <w:kinsoku/>
              <w:overflowPunct/>
              <w:topLinePunct w:val="0"/>
              <w:bidi w:val="0"/>
              <w:spacing w:line="594" w:lineRule="exact"/>
              <w:jc w:val="center"/>
              <w:rPr>
                <w:rFonts w:hint="eastAsia"/>
                <w:color w:val="auto"/>
              </w:rPr>
            </w:pPr>
          </w:p>
        </w:tc>
        <w:tc>
          <w:tcPr>
            <w:tcW w:w="2610" w:type="dxa"/>
            <w:vMerge w:val="continue"/>
            <w:vAlign w:val="center"/>
          </w:tcPr>
          <w:p w14:paraId="04684EF3">
            <w:pPr>
              <w:pageBreakBefore w:val="0"/>
              <w:kinsoku/>
              <w:overflowPunct/>
              <w:topLinePunct w:val="0"/>
              <w:bidi w:val="0"/>
              <w:spacing w:line="594" w:lineRule="exact"/>
              <w:jc w:val="center"/>
              <w:rPr>
                <w:rFonts w:hint="eastAsia"/>
                <w:color w:val="auto"/>
                <w:lang w:val="en-US" w:eastAsia="zh-CN"/>
              </w:rPr>
            </w:pPr>
          </w:p>
        </w:tc>
        <w:tc>
          <w:tcPr>
            <w:tcW w:w="735" w:type="dxa"/>
            <w:vMerge w:val="continue"/>
            <w:vAlign w:val="center"/>
          </w:tcPr>
          <w:p w14:paraId="4DC09616">
            <w:pPr>
              <w:pageBreakBefore w:val="0"/>
              <w:kinsoku/>
              <w:overflowPunct/>
              <w:topLinePunct w:val="0"/>
              <w:bidi w:val="0"/>
              <w:spacing w:line="594" w:lineRule="exact"/>
              <w:jc w:val="center"/>
              <w:rPr>
                <w:rFonts w:hint="eastAsia"/>
                <w:color w:val="auto"/>
              </w:rPr>
            </w:pPr>
          </w:p>
        </w:tc>
        <w:tc>
          <w:tcPr>
            <w:tcW w:w="735" w:type="dxa"/>
            <w:vMerge w:val="continue"/>
            <w:vAlign w:val="center"/>
          </w:tcPr>
          <w:p w14:paraId="3D0D1782">
            <w:pPr>
              <w:pageBreakBefore w:val="0"/>
              <w:kinsoku/>
              <w:overflowPunct/>
              <w:topLinePunct w:val="0"/>
              <w:bidi w:val="0"/>
              <w:spacing w:line="594" w:lineRule="exact"/>
              <w:jc w:val="center"/>
              <w:rPr>
                <w:rFonts w:hint="eastAsia"/>
                <w:color w:val="auto"/>
              </w:rPr>
            </w:pPr>
          </w:p>
        </w:tc>
        <w:tc>
          <w:tcPr>
            <w:tcW w:w="1065" w:type="dxa"/>
            <w:vAlign w:val="center"/>
          </w:tcPr>
          <w:p w14:paraId="3C752050">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单价</w:t>
            </w:r>
          </w:p>
          <w:p w14:paraId="4BF0EF75">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c>
          <w:tcPr>
            <w:tcW w:w="1287" w:type="dxa"/>
            <w:vAlign w:val="center"/>
          </w:tcPr>
          <w:p w14:paraId="53079530">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合计</w:t>
            </w:r>
          </w:p>
          <w:p w14:paraId="61DC49D2">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r>
      <w:tr w14:paraId="4ACDB1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7EFB54CE">
            <w:pPr>
              <w:pageBreakBefore w:val="0"/>
              <w:kinsoku/>
              <w:overflowPunct/>
              <w:topLinePunct w:val="0"/>
              <w:bidi w:val="0"/>
              <w:spacing w:line="594" w:lineRule="exact"/>
              <w:jc w:val="center"/>
              <w:rPr>
                <w:rFonts w:hint="eastAsia"/>
                <w:color w:val="auto"/>
              </w:rPr>
            </w:pPr>
            <w:r>
              <w:rPr>
                <w:rFonts w:hint="eastAsia"/>
                <w:color w:val="auto"/>
              </w:rPr>
              <w:t>1</w:t>
            </w:r>
          </w:p>
        </w:tc>
        <w:tc>
          <w:tcPr>
            <w:tcW w:w="2205" w:type="dxa"/>
            <w:vAlign w:val="center"/>
          </w:tcPr>
          <w:p w14:paraId="0A3E2828">
            <w:pPr>
              <w:pageBreakBefore w:val="0"/>
              <w:kinsoku/>
              <w:overflowPunct/>
              <w:topLinePunct w:val="0"/>
              <w:bidi w:val="0"/>
              <w:spacing w:line="594" w:lineRule="exact"/>
              <w:jc w:val="center"/>
              <w:rPr>
                <w:rFonts w:hint="eastAsia"/>
                <w:color w:val="auto"/>
              </w:rPr>
            </w:pPr>
          </w:p>
        </w:tc>
        <w:tc>
          <w:tcPr>
            <w:tcW w:w="2610" w:type="dxa"/>
            <w:vAlign w:val="center"/>
          </w:tcPr>
          <w:p w14:paraId="20603410">
            <w:pPr>
              <w:pageBreakBefore w:val="0"/>
              <w:kinsoku/>
              <w:overflowPunct/>
              <w:topLinePunct w:val="0"/>
              <w:bidi w:val="0"/>
              <w:spacing w:line="594" w:lineRule="exact"/>
              <w:jc w:val="center"/>
              <w:rPr>
                <w:rFonts w:hint="eastAsia"/>
                <w:color w:val="auto"/>
                <w:lang w:val="en-US" w:eastAsia="zh-CN"/>
              </w:rPr>
            </w:pPr>
          </w:p>
        </w:tc>
        <w:tc>
          <w:tcPr>
            <w:tcW w:w="735" w:type="dxa"/>
            <w:vAlign w:val="center"/>
          </w:tcPr>
          <w:p w14:paraId="33592D40">
            <w:pPr>
              <w:pageBreakBefore w:val="0"/>
              <w:kinsoku/>
              <w:overflowPunct/>
              <w:topLinePunct w:val="0"/>
              <w:bidi w:val="0"/>
              <w:spacing w:line="594" w:lineRule="exact"/>
              <w:jc w:val="center"/>
              <w:rPr>
                <w:rFonts w:hint="eastAsia"/>
                <w:color w:val="auto"/>
              </w:rPr>
            </w:pPr>
          </w:p>
        </w:tc>
        <w:tc>
          <w:tcPr>
            <w:tcW w:w="735" w:type="dxa"/>
            <w:vAlign w:val="center"/>
          </w:tcPr>
          <w:p w14:paraId="5374EA22">
            <w:pPr>
              <w:pageBreakBefore w:val="0"/>
              <w:kinsoku/>
              <w:overflowPunct/>
              <w:topLinePunct w:val="0"/>
              <w:bidi w:val="0"/>
              <w:spacing w:line="594" w:lineRule="exact"/>
              <w:jc w:val="center"/>
              <w:rPr>
                <w:rFonts w:hint="eastAsia"/>
                <w:color w:val="auto"/>
              </w:rPr>
            </w:pPr>
          </w:p>
        </w:tc>
        <w:tc>
          <w:tcPr>
            <w:tcW w:w="1065" w:type="dxa"/>
            <w:vAlign w:val="center"/>
          </w:tcPr>
          <w:p w14:paraId="3280E9A2">
            <w:pPr>
              <w:pageBreakBefore w:val="0"/>
              <w:kinsoku/>
              <w:overflowPunct/>
              <w:topLinePunct w:val="0"/>
              <w:bidi w:val="0"/>
              <w:spacing w:line="594" w:lineRule="exact"/>
              <w:jc w:val="center"/>
              <w:rPr>
                <w:rFonts w:hint="eastAsia"/>
                <w:color w:val="auto"/>
              </w:rPr>
            </w:pPr>
          </w:p>
        </w:tc>
        <w:tc>
          <w:tcPr>
            <w:tcW w:w="1287" w:type="dxa"/>
            <w:vAlign w:val="center"/>
          </w:tcPr>
          <w:p w14:paraId="42EBF008">
            <w:pPr>
              <w:pageBreakBefore w:val="0"/>
              <w:kinsoku/>
              <w:overflowPunct/>
              <w:topLinePunct w:val="0"/>
              <w:bidi w:val="0"/>
              <w:spacing w:line="594" w:lineRule="exact"/>
              <w:jc w:val="center"/>
              <w:rPr>
                <w:rFonts w:hint="eastAsia"/>
                <w:color w:val="auto"/>
              </w:rPr>
            </w:pPr>
          </w:p>
        </w:tc>
      </w:tr>
      <w:tr w14:paraId="79CC77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66A3DA7A">
            <w:pPr>
              <w:pageBreakBefore w:val="0"/>
              <w:kinsoku/>
              <w:overflowPunct/>
              <w:topLinePunct w:val="0"/>
              <w:bidi w:val="0"/>
              <w:spacing w:line="594" w:lineRule="exact"/>
              <w:jc w:val="center"/>
              <w:rPr>
                <w:rFonts w:hint="eastAsia"/>
                <w:color w:val="auto"/>
              </w:rPr>
            </w:pPr>
            <w:r>
              <w:rPr>
                <w:rFonts w:hint="eastAsia"/>
                <w:color w:val="auto"/>
              </w:rPr>
              <w:t>2</w:t>
            </w:r>
          </w:p>
        </w:tc>
        <w:tc>
          <w:tcPr>
            <w:tcW w:w="2205" w:type="dxa"/>
            <w:vAlign w:val="center"/>
          </w:tcPr>
          <w:p w14:paraId="1F9AE386">
            <w:pPr>
              <w:pageBreakBefore w:val="0"/>
              <w:kinsoku/>
              <w:overflowPunct/>
              <w:topLinePunct w:val="0"/>
              <w:bidi w:val="0"/>
              <w:spacing w:line="594" w:lineRule="exact"/>
              <w:jc w:val="center"/>
              <w:rPr>
                <w:rFonts w:hint="eastAsia"/>
                <w:color w:val="auto"/>
              </w:rPr>
            </w:pPr>
          </w:p>
        </w:tc>
        <w:tc>
          <w:tcPr>
            <w:tcW w:w="2610" w:type="dxa"/>
            <w:vAlign w:val="center"/>
          </w:tcPr>
          <w:p w14:paraId="2EC64D9F">
            <w:pPr>
              <w:pageBreakBefore w:val="0"/>
              <w:kinsoku/>
              <w:overflowPunct/>
              <w:topLinePunct w:val="0"/>
              <w:bidi w:val="0"/>
              <w:spacing w:line="594" w:lineRule="exact"/>
              <w:jc w:val="center"/>
              <w:rPr>
                <w:rFonts w:hint="eastAsia"/>
                <w:color w:val="auto"/>
              </w:rPr>
            </w:pPr>
          </w:p>
        </w:tc>
        <w:tc>
          <w:tcPr>
            <w:tcW w:w="735" w:type="dxa"/>
            <w:vAlign w:val="center"/>
          </w:tcPr>
          <w:p w14:paraId="56246D98">
            <w:pPr>
              <w:pageBreakBefore w:val="0"/>
              <w:kinsoku/>
              <w:overflowPunct/>
              <w:topLinePunct w:val="0"/>
              <w:bidi w:val="0"/>
              <w:spacing w:line="594" w:lineRule="exact"/>
              <w:jc w:val="center"/>
              <w:rPr>
                <w:rFonts w:hint="eastAsia"/>
                <w:color w:val="auto"/>
              </w:rPr>
            </w:pPr>
          </w:p>
        </w:tc>
        <w:tc>
          <w:tcPr>
            <w:tcW w:w="735" w:type="dxa"/>
            <w:vAlign w:val="center"/>
          </w:tcPr>
          <w:p w14:paraId="4997DBDC">
            <w:pPr>
              <w:pageBreakBefore w:val="0"/>
              <w:kinsoku/>
              <w:overflowPunct/>
              <w:topLinePunct w:val="0"/>
              <w:bidi w:val="0"/>
              <w:spacing w:line="594" w:lineRule="exact"/>
              <w:jc w:val="center"/>
              <w:rPr>
                <w:rFonts w:hint="eastAsia"/>
                <w:color w:val="auto"/>
              </w:rPr>
            </w:pPr>
          </w:p>
        </w:tc>
        <w:tc>
          <w:tcPr>
            <w:tcW w:w="1065" w:type="dxa"/>
            <w:vAlign w:val="center"/>
          </w:tcPr>
          <w:p w14:paraId="101F9A1B">
            <w:pPr>
              <w:pageBreakBefore w:val="0"/>
              <w:kinsoku/>
              <w:overflowPunct/>
              <w:topLinePunct w:val="0"/>
              <w:bidi w:val="0"/>
              <w:spacing w:line="594" w:lineRule="exact"/>
              <w:jc w:val="center"/>
              <w:rPr>
                <w:rFonts w:hint="eastAsia"/>
                <w:color w:val="auto"/>
              </w:rPr>
            </w:pPr>
          </w:p>
        </w:tc>
        <w:tc>
          <w:tcPr>
            <w:tcW w:w="1287" w:type="dxa"/>
            <w:vAlign w:val="center"/>
          </w:tcPr>
          <w:p w14:paraId="58651498">
            <w:pPr>
              <w:pageBreakBefore w:val="0"/>
              <w:kinsoku/>
              <w:overflowPunct/>
              <w:topLinePunct w:val="0"/>
              <w:bidi w:val="0"/>
              <w:spacing w:line="594" w:lineRule="exact"/>
              <w:jc w:val="center"/>
              <w:rPr>
                <w:rFonts w:hint="eastAsia"/>
                <w:color w:val="auto"/>
              </w:rPr>
            </w:pPr>
          </w:p>
        </w:tc>
      </w:tr>
      <w:tr w14:paraId="27A141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2D0B28F7">
            <w:pPr>
              <w:pageBreakBefore w:val="0"/>
              <w:kinsoku/>
              <w:overflowPunct/>
              <w:topLinePunct w:val="0"/>
              <w:bidi w:val="0"/>
              <w:spacing w:line="594" w:lineRule="exact"/>
              <w:jc w:val="center"/>
              <w:rPr>
                <w:rFonts w:hint="eastAsia"/>
                <w:color w:val="auto"/>
              </w:rPr>
            </w:pPr>
            <w:r>
              <w:rPr>
                <w:rFonts w:hint="eastAsia"/>
                <w:color w:val="auto"/>
              </w:rPr>
              <w:t>3</w:t>
            </w:r>
          </w:p>
        </w:tc>
        <w:tc>
          <w:tcPr>
            <w:tcW w:w="2205" w:type="dxa"/>
            <w:vAlign w:val="center"/>
          </w:tcPr>
          <w:p w14:paraId="79026949">
            <w:pPr>
              <w:pageBreakBefore w:val="0"/>
              <w:kinsoku/>
              <w:overflowPunct/>
              <w:topLinePunct w:val="0"/>
              <w:bidi w:val="0"/>
              <w:spacing w:line="594" w:lineRule="exact"/>
              <w:jc w:val="center"/>
              <w:rPr>
                <w:rFonts w:hint="eastAsia"/>
                <w:color w:val="auto"/>
              </w:rPr>
            </w:pPr>
          </w:p>
        </w:tc>
        <w:tc>
          <w:tcPr>
            <w:tcW w:w="2610" w:type="dxa"/>
            <w:vAlign w:val="center"/>
          </w:tcPr>
          <w:p w14:paraId="73D014C3">
            <w:pPr>
              <w:pageBreakBefore w:val="0"/>
              <w:kinsoku/>
              <w:overflowPunct/>
              <w:topLinePunct w:val="0"/>
              <w:bidi w:val="0"/>
              <w:spacing w:line="594" w:lineRule="exact"/>
              <w:jc w:val="center"/>
              <w:rPr>
                <w:rFonts w:hint="eastAsia"/>
                <w:color w:val="auto"/>
              </w:rPr>
            </w:pPr>
          </w:p>
        </w:tc>
        <w:tc>
          <w:tcPr>
            <w:tcW w:w="735" w:type="dxa"/>
            <w:vAlign w:val="center"/>
          </w:tcPr>
          <w:p w14:paraId="2BD8EE10">
            <w:pPr>
              <w:pageBreakBefore w:val="0"/>
              <w:kinsoku/>
              <w:overflowPunct/>
              <w:topLinePunct w:val="0"/>
              <w:bidi w:val="0"/>
              <w:spacing w:line="594" w:lineRule="exact"/>
              <w:jc w:val="center"/>
              <w:rPr>
                <w:rFonts w:hint="eastAsia"/>
                <w:color w:val="auto"/>
              </w:rPr>
            </w:pPr>
          </w:p>
        </w:tc>
        <w:tc>
          <w:tcPr>
            <w:tcW w:w="735" w:type="dxa"/>
            <w:vAlign w:val="center"/>
          </w:tcPr>
          <w:p w14:paraId="36D31DD6">
            <w:pPr>
              <w:pageBreakBefore w:val="0"/>
              <w:kinsoku/>
              <w:overflowPunct/>
              <w:topLinePunct w:val="0"/>
              <w:bidi w:val="0"/>
              <w:spacing w:line="594" w:lineRule="exact"/>
              <w:jc w:val="center"/>
              <w:rPr>
                <w:rFonts w:hint="eastAsia"/>
                <w:color w:val="auto"/>
              </w:rPr>
            </w:pPr>
          </w:p>
        </w:tc>
        <w:tc>
          <w:tcPr>
            <w:tcW w:w="1065" w:type="dxa"/>
            <w:vAlign w:val="center"/>
          </w:tcPr>
          <w:p w14:paraId="77C4A24F">
            <w:pPr>
              <w:pageBreakBefore w:val="0"/>
              <w:kinsoku/>
              <w:overflowPunct/>
              <w:topLinePunct w:val="0"/>
              <w:bidi w:val="0"/>
              <w:spacing w:line="594" w:lineRule="exact"/>
              <w:jc w:val="center"/>
              <w:rPr>
                <w:rFonts w:hint="eastAsia"/>
                <w:color w:val="auto"/>
              </w:rPr>
            </w:pPr>
          </w:p>
        </w:tc>
        <w:tc>
          <w:tcPr>
            <w:tcW w:w="1287" w:type="dxa"/>
            <w:vAlign w:val="center"/>
          </w:tcPr>
          <w:p w14:paraId="08BBC898">
            <w:pPr>
              <w:pageBreakBefore w:val="0"/>
              <w:kinsoku/>
              <w:overflowPunct/>
              <w:topLinePunct w:val="0"/>
              <w:bidi w:val="0"/>
              <w:spacing w:line="594" w:lineRule="exact"/>
              <w:jc w:val="center"/>
              <w:rPr>
                <w:rFonts w:hint="eastAsia"/>
                <w:color w:val="auto"/>
              </w:rPr>
            </w:pPr>
          </w:p>
        </w:tc>
      </w:tr>
      <w:tr w14:paraId="14553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45" w:type="dxa"/>
            <w:gridSpan w:val="6"/>
            <w:vAlign w:val="center"/>
          </w:tcPr>
          <w:p w14:paraId="09A31077">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报价合计</w:t>
            </w:r>
          </w:p>
        </w:tc>
        <w:tc>
          <w:tcPr>
            <w:tcW w:w="1287" w:type="dxa"/>
            <w:vAlign w:val="center"/>
          </w:tcPr>
          <w:p w14:paraId="24D3FDE3">
            <w:pPr>
              <w:pageBreakBefore w:val="0"/>
              <w:kinsoku/>
              <w:overflowPunct/>
              <w:topLinePunct w:val="0"/>
              <w:bidi w:val="0"/>
              <w:spacing w:line="594" w:lineRule="exact"/>
              <w:jc w:val="center"/>
              <w:rPr>
                <w:color w:val="auto"/>
              </w:rPr>
            </w:pPr>
          </w:p>
        </w:tc>
      </w:tr>
    </w:tbl>
    <w:p w14:paraId="70CF585B">
      <w:pPr>
        <w:pageBreakBefore w:val="0"/>
        <w:kinsoku/>
        <w:overflowPunct/>
        <w:topLinePunct w:val="0"/>
        <w:bidi w:val="0"/>
        <w:spacing w:line="594" w:lineRule="exact"/>
        <w:rPr>
          <w:rFonts w:hint="eastAsia" w:ascii="黑体" w:hAnsi="黑体" w:eastAsia="黑体" w:cs="黑体"/>
          <w:b/>
          <w:bCs/>
          <w:color w:val="auto"/>
        </w:rPr>
      </w:pPr>
    </w:p>
    <w:p w14:paraId="2D17ED0A">
      <w:pPr>
        <w:keepNext w:val="0"/>
        <w:keepLines w:val="0"/>
        <w:pageBreakBefore w:val="0"/>
        <w:widowControl w:val="0"/>
        <w:kinsoku/>
        <w:wordWrap/>
        <w:overflowPunct/>
        <w:topLinePunct w:val="0"/>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rPr>
        <w:t>说明：</w:t>
      </w:r>
    </w:p>
    <w:p w14:paraId="18FA8CD9">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.本表应对应“</w:t>
      </w:r>
      <w:r>
        <w:rPr>
          <w:rFonts w:hint="eastAsia" w:ascii="方正仿宋_GB2312" w:hAnsi="方正仿宋_GB2312" w:eastAsia="方正仿宋_GB2312" w:cs="方正仿宋_GB2312"/>
          <w:color w:val="auto"/>
          <w:sz w:val="28"/>
          <w:szCs w:val="28"/>
          <w:lang w:val="en-US" w:eastAsia="zh-CN"/>
        </w:rPr>
        <w:t>报价</w:t>
      </w:r>
      <w:r>
        <w:rPr>
          <w:rFonts w:hint="eastAsia" w:ascii="方正仿宋_GB2312" w:hAnsi="方正仿宋_GB2312" w:eastAsia="方正仿宋_GB2312" w:cs="方正仿宋_GB2312"/>
          <w:color w:val="auto"/>
          <w:sz w:val="28"/>
          <w:szCs w:val="28"/>
        </w:rPr>
        <w:t>一览表”，按包填写。投标人如果不提供分项报价明细表，其</w:t>
      </w:r>
      <w:r>
        <w:rPr>
          <w:rFonts w:hint="eastAsia" w:ascii="方正仿宋_GB2312" w:hAnsi="方正仿宋_GB2312" w:eastAsia="方正仿宋_GB2312" w:cs="方正仿宋_GB2312"/>
          <w:b/>
          <w:bCs/>
          <w:color w:val="auto"/>
          <w:sz w:val="28"/>
          <w:szCs w:val="28"/>
        </w:rPr>
        <w:t>投标无效</w:t>
      </w:r>
      <w:r>
        <w:rPr>
          <w:rFonts w:hint="eastAsia" w:ascii="方正仿宋_GB2312" w:hAnsi="方正仿宋_GB2312" w:eastAsia="方正仿宋_GB2312" w:cs="方正仿宋_GB2312"/>
          <w:color w:val="auto"/>
          <w:sz w:val="28"/>
          <w:szCs w:val="28"/>
        </w:rPr>
        <w:t>。</w:t>
      </w:r>
    </w:p>
    <w:p w14:paraId="5CC7B581">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不得填写“免费”或“赠与”，也不得进行“零”报价，否则</w:t>
      </w:r>
      <w:r>
        <w:rPr>
          <w:rFonts w:hint="eastAsia" w:ascii="方正仿宋_GB2312" w:hAnsi="方正仿宋_GB2312" w:eastAsia="方正仿宋_GB2312" w:cs="方正仿宋_GB2312"/>
          <w:b/>
          <w:color w:val="auto"/>
          <w:sz w:val="28"/>
          <w:szCs w:val="28"/>
        </w:rPr>
        <w:t>投标无效</w:t>
      </w:r>
      <w:r>
        <w:rPr>
          <w:rFonts w:hint="eastAsia" w:ascii="方正仿宋_GB2312" w:hAnsi="方正仿宋_GB2312" w:eastAsia="方正仿宋_GB2312" w:cs="方正仿宋_GB2312"/>
          <w:color w:val="auto"/>
          <w:sz w:val="28"/>
          <w:szCs w:val="28"/>
        </w:rPr>
        <w:t>。</w:t>
      </w:r>
    </w:p>
    <w:p w14:paraId="58C463BB">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.如果</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内容与本表内容不一致的，以</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内容为准。</w:t>
      </w:r>
    </w:p>
    <w:p w14:paraId="77076AB5">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4B47C804">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781948E6">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4DD88DC9">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696C0AAE">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A43A701">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p>
    <w:p w14:paraId="07493B47">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bookmarkStart w:id="20" w:name="_Toc34758614"/>
      <w:r>
        <w:rPr>
          <w:rFonts w:hint="eastAsia" w:ascii="方正公文小标宋" w:hAnsi="方正公文小标宋" w:eastAsia="方正公文小标宋" w:cs="方正公文小标宋"/>
          <w:b w:val="0"/>
          <w:bCs w:val="0"/>
          <w:color w:val="auto"/>
          <w:sz w:val="36"/>
          <w:szCs w:val="36"/>
          <w:lang w:val="en-US" w:eastAsia="zh-CN"/>
        </w:rPr>
        <w:t>（十）采购需求响应/偏离表</w:t>
      </w:r>
      <w:bookmarkEnd w:id="20"/>
    </w:p>
    <w:p w14:paraId="5521B292">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采购项目编号：</w:t>
      </w:r>
    </w:p>
    <w:p w14:paraId="01BD713D">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14:paraId="61F2E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2F84F748">
            <w:pPr>
              <w:pageBreakBefore w:val="0"/>
              <w:kinsoku/>
              <w:overflowPunct/>
              <w:topLinePunct w:val="0"/>
              <w:bidi w:val="0"/>
              <w:spacing w:line="594" w:lineRule="exact"/>
              <w:jc w:val="center"/>
              <w:rPr>
                <w:color w:val="auto"/>
              </w:rPr>
            </w:pPr>
            <w:r>
              <w:rPr>
                <w:rFonts w:hint="eastAsia"/>
                <w:color w:val="auto"/>
              </w:rPr>
              <w:t>序号</w:t>
            </w:r>
          </w:p>
        </w:tc>
        <w:tc>
          <w:tcPr>
            <w:tcW w:w="2713" w:type="dxa"/>
            <w:vAlign w:val="center"/>
          </w:tcPr>
          <w:p w14:paraId="034EE788">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文件章节条款号</w:t>
            </w:r>
          </w:p>
        </w:tc>
        <w:tc>
          <w:tcPr>
            <w:tcW w:w="1890" w:type="dxa"/>
            <w:tcBorders>
              <w:right w:val="single" w:color="auto" w:sz="4" w:space="0"/>
            </w:tcBorders>
            <w:vAlign w:val="center"/>
          </w:tcPr>
          <w:p w14:paraId="50555BDF">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文件要求</w:t>
            </w:r>
          </w:p>
        </w:tc>
        <w:tc>
          <w:tcPr>
            <w:tcW w:w="2085" w:type="dxa"/>
            <w:tcBorders>
              <w:left w:val="single" w:color="auto" w:sz="4" w:space="0"/>
            </w:tcBorders>
            <w:vAlign w:val="center"/>
          </w:tcPr>
          <w:p w14:paraId="124B4774">
            <w:pPr>
              <w:pageBreakBefore w:val="0"/>
              <w:kinsoku/>
              <w:overflowPunct/>
              <w:topLinePunct w:val="0"/>
              <w:bidi w:val="0"/>
              <w:spacing w:line="594" w:lineRule="exact"/>
              <w:jc w:val="center"/>
              <w:rPr>
                <w:color w:val="auto"/>
              </w:rPr>
            </w:pPr>
            <w:r>
              <w:rPr>
                <w:rFonts w:hint="eastAsia"/>
                <w:color w:val="auto"/>
                <w:lang w:eastAsia="zh-CN"/>
              </w:rPr>
              <w:t>响应</w:t>
            </w:r>
            <w:r>
              <w:rPr>
                <w:rFonts w:hint="eastAsia"/>
                <w:color w:val="auto"/>
              </w:rPr>
              <w:t>文件应答</w:t>
            </w:r>
          </w:p>
        </w:tc>
        <w:tc>
          <w:tcPr>
            <w:tcW w:w="1589" w:type="dxa"/>
            <w:vAlign w:val="center"/>
          </w:tcPr>
          <w:p w14:paraId="466DBC49">
            <w:pPr>
              <w:pageBreakBefore w:val="0"/>
              <w:kinsoku/>
              <w:overflowPunct/>
              <w:topLinePunct w:val="0"/>
              <w:bidi w:val="0"/>
              <w:spacing w:line="594" w:lineRule="exact"/>
              <w:jc w:val="center"/>
              <w:rPr>
                <w:rFonts w:hint="eastAsia"/>
                <w:color w:val="auto"/>
                <w:lang w:eastAsia="zh-CN"/>
              </w:rPr>
            </w:pPr>
            <w:r>
              <w:rPr>
                <w:rFonts w:hint="eastAsia"/>
                <w:color w:val="auto"/>
                <w:lang w:eastAsia="zh-CN"/>
              </w:rPr>
              <w:t>响应</w:t>
            </w:r>
            <w:r>
              <w:rPr>
                <w:rFonts w:hint="eastAsia"/>
                <w:color w:val="auto"/>
                <w:lang w:val="en-US" w:eastAsia="zh-CN"/>
              </w:rPr>
              <w:t>/</w:t>
            </w:r>
            <w:r>
              <w:rPr>
                <w:rFonts w:hint="eastAsia"/>
                <w:color w:val="auto"/>
              </w:rPr>
              <w:t>偏离</w:t>
            </w:r>
          </w:p>
        </w:tc>
      </w:tr>
      <w:tr w14:paraId="751C6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6AE499F">
            <w:pPr>
              <w:pageBreakBefore w:val="0"/>
              <w:kinsoku/>
              <w:overflowPunct/>
              <w:topLinePunct w:val="0"/>
              <w:bidi w:val="0"/>
              <w:spacing w:line="594" w:lineRule="exact"/>
              <w:jc w:val="center"/>
              <w:rPr>
                <w:color w:val="auto"/>
              </w:rPr>
            </w:pPr>
          </w:p>
        </w:tc>
        <w:tc>
          <w:tcPr>
            <w:tcW w:w="2713" w:type="dxa"/>
            <w:vAlign w:val="center"/>
          </w:tcPr>
          <w:p w14:paraId="2CC23F68">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6FBF8B76">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761CB593">
            <w:pPr>
              <w:pageBreakBefore w:val="0"/>
              <w:kinsoku/>
              <w:overflowPunct/>
              <w:topLinePunct w:val="0"/>
              <w:bidi w:val="0"/>
              <w:spacing w:line="594" w:lineRule="exact"/>
              <w:jc w:val="center"/>
              <w:rPr>
                <w:color w:val="auto"/>
              </w:rPr>
            </w:pPr>
          </w:p>
        </w:tc>
        <w:tc>
          <w:tcPr>
            <w:tcW w:w="1589" w:type="dxa"/>
            <w:vAlign w:val="center"/>
          </w:tcPr>
          <w:p w14:paraId="38D95DB7">
            <w:pPr>
              <w:pageBreakBefore w:val="0"/>
              <w:kinsoku/>
              <w:overflowPunct/>
              <w:topLinePunct w:val="0"/>
              <w:bidi w:val="0"/>
              <w:spacing w:line="594" w:lineRule="exact"/>
              <w:jc w:val="center"/>
              <w:rPr>
                <w:color w:val="auto"/>
              </w:rPr>
            </w:pPr>
          </w:p>
        </w:tc>
      </w:tr>
      <w:tr w14:paraId="3CCFB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5ED72A4">
            <w:pPr>
              <w:pageBreakBefore w:val="0"/>
              <w:kinsoku/>
              <w:overflowPunct/>
              <w:topLinePunct w:val="0"/>
              <w:bidi w:val="0"/>
              <w:spacing w:line="594" w:lineRule="exact"/>
              <w:jc w:val="center"/>
              <w:rPr>
                <w:color w:val="auto"/>
              </w:rPr>
            </w:pPr>
          </w:p>
        </w:tc>
        <w:tc>
          <w:tcPr>
            <w:tcW w:w="2713" w:type="dxa"/>
            <w:vAlign w:val="center"/>
          </w:tcPr>
          <w:p w14:paraId="46DC8F67">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6DE9AA3">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4A47D521">
            <w:pPr>
              <w:pageBreakBefore w:val="0"/>
              <w:kinsoku/>
              <w:overflowPunct/>
              <w:topLinePunct w:val="0"/>
              <w:bidi w:val="0"/>
              <w:spacing w:line="594" w:lineRule="exact"/>
              <w:jc w:val="center"/>
              <w:rPr>
                <w:color w:val="auto"/>
              </w:rPr>
            </w:pPr>
          </w:p>
        </w:tc>
        <w:tc>
          <w:tcPr>
            <w:tcW w:w="1589" w:type="dxa"/>
            <w:vAlign w:val="center"/>
          </w:tcPr>
          <w:p w14:paraId="2098701B">
            <w:pPr>
              <w:pageBreakBefore w:val="0"/>
              <w:kinsoku/>
              <w:overflowPunct/>
              <w:topLinePunct w:val="0"/>
              <w:bidi w:val="0"/>
              <w:spacing w:line="594" w:lineRule="exact"/>
              <w:jc w:val="center"/>
              <w:rPr>
                <w:color w:val="auto"/>
              </w:rPr>
            </w:pPr>
          </w:p>
        </w:tc>
      </w:tr>
      <w:tr w14:paraId="52AF6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460A687">
            <w:pPr>
              <w:pageBreakBefore w:val="0"/>
              <w:kinsoku/>
              <w:overflowPunct/>
              <w:topLinePunct w:val="0"/>
              <w:bidi w:val="0"/>
              <w:spacing w:line="594" w:lineRule="exact"/>
              <w:jc w:val="center"/>
              <w:rPr>
                <w:color w:val="auto"/>
              </w:rPr>
            </w:pPr>
          </w:p>
        </w:tc>
        <w:tc>
          <w:tcPr>
            <w:tcW w:w="2713" w:type="dxa"/>
            <w:vAlign w:val="center"/>
          </w:tcPr>
          <w:p w14:paraId="56FCA27F">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8A137A7">
            <w:pPr>
              <w:pageBreakBefore w:val="0"/>
              <w:kinsoku/>
              <w:overflowPunct/>
              <w:topLinePunct w:val="0"/>
              <w:bidi w:val="0"/>
              <w:spacing w:line="594" w:lineRule="exact"/>
              <w:jc w:val="center"/>
              <w:rPr>
                <w:color w:val="auto"/>
              </w:rPr>
            </w:pPr>
          </w:p>
        </w:tc>
        <w:tc>
          <w:tcPr>
            <w:tcW w:w="3674" w:type="dxa"/>
            <w:gridSpan w:val="2"/>
            <w:vMerge w:val="restart"/>
            <w:tcBorders>
              <w:left w:val="single" w:color="auto" w:sz="4" w:space="0"/>
            </w:tcBorders>
            <w:vAlign w:val="center"/>
          </w:tcPr>
          <w:p w14:paraId="7ABE4196">
            <w:pPr>
              <w:rPr>
                <w:color w:val="auto"/>
              </w:rPr>
            </w:pPr>
            <w:r>
              <w:rPr>
                <w:rFonts w:hint="eastAsia"/>
                <w:color w:val="auto"/>
              </w:rPr>
              <w:t>投标人保证：除本</w:t>
            </w:r>
            <w:r>
              <w:rPr>
                <w:rFonts w:hint="eastAsia"/>
                <w:color w:val="auto"/>
                <w:lang w:val="en-US" w:eastAsia="zh-CN"/>
              </w:rPr>
              <w:t>采购需求响应/偏离表</w:t>
            </w:r>
            <w:r>
              <w:rPr>
                <w:rFonts w:hint="eastAsia"/>
                <w:color w:val="auto"/>
              </w:rPr>
              <w:t>条款列出的</w:t>
            </w:r>
            <w:r>
              <w:rPr>
                <w:rFonts w:hint="eastAsia"/>
                <w:color w:val="auto"/>
                <w:lang w:val="en-US" w:eastAsia="zh-CN"/>
              </w:rPr>
              <w:t>响应/</w:t>
            </w:r>
            <w:r>
              <w:rPr>
                <w:rFonts w:hint="eastAsia"/>
                <w:color w:val="auto"/>
              </w:rPr>
              <w:t>偏离外，我单位</w:t>
            </w:r>
            <w:r>
              <w:rPr>
                <w:rFonts w:hint="eastAsia"/>
                <w:color w:val="auto"/>
                <w:lang w:val="en-US" w:eastAsia="zh-CN"/>
              </w:rPr>
              <w:t>承诺</w:t>
            </w:r>
            <w:r>
              <w:rPr>
                <w:rFonts w:hint="eastAsia"/>
                <w:color w:val="auto"/>
              </w:rPr>
              <w:t>对</w:t>
            </w:r>
            <w:r>
              <w:rPr>
                <w:rFonts w:hint="eastAsia"/>
                <w:color w:val="auto"/>
                <w:lang w:val="en-US" w:eastAsia="zh-CN"/>
              </w:rPr>
              <w:t>比选</w:t>
            </w:r>
            <w:r>
              <w:rPr>
                <w:rFonts w:hint="eastAsia"/>
                <w:color w:val="auto"/>
              </w:rPr>
              <w:t>文件的其他条款</w:t>
            </w:r>
            <w:r>
              <w:rPr>
                <w:rFonts w:hint="eastAsia"/>
                <w:color w:val="auto"/>
                <w:lang w:eastAsia="zh-CN"/>
              </w:rPr>
              <w:t>（</w:t>
            </w:r>
            <w:r>
              <w:rPr>
                <w:rFonts w:hint="eastAsia"/>
                <w:color w:val="auto"/>
                <w:lang w:val="en-US" w:eastAsia="zh-CN"/>
              </w:rPr>
              <w:t>内容</w:t>
            </w:r>
            <w:r>
              <w:rPr>
                <w:rFonts w:hint="eastAsia"/>
                <w:color w:val="auto"/>
                <w:lang w:eastAsia="zh-CN"/>
              </w:rPr>
              <w:t>）</w:t>
            </w:r>
            <w:r>
              <w:rPr>
                <w:rFonts w:hint="eastAsia"/>
                <w:color w:val="auto"/>
                <w:lang w:val="en-US" w:eastAsia="zh-CN"/>
              </w:rPr>
              <w:t>无条件完</w:t>
            </w:r>
            <w:r>
              <w:rPr>
                <w:rFonts w:hint="eastAsia"/>
                <w:color w:val="auto"/>
              </w:rPr>
              <w:t>全响应，无偏离。</w:t>
            </w:r>
          </w:p>
        </w:tc>
      </w:tr>
      <w:tr w14:paraId="47974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89708A0">
            <w:pPr>
              <w:pageBreakBefore w:val="0"/>
              <w:kinsoku/>
              <w:overflowPunct/>
              <w:topLinePunct w:val="0"/>
              <w:bidi w:val="0"/>
              <w:spacing w:line="594" w:lineRule="exact"/>
              <w:jc w:val="center"/>
              <w:rPr>
                <w:color w:val="auto"/>
              </w:rPr>
            </w:pPr>
          </w:p>
        </w:tc>
        <w:tc>
          <w:tcPr>
            <w:tcW w:w="2713" w:type="dxa"/>
            <w:vAlign w:val="center"/>
          </w:tcPr>
          <w:p w14:paraId="6B351C33">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08DCA537">
            <w:pPr>
              <w:pageBreakBefore w:val="0"/>
              <w:kinsoku/>
              <w:overflowPunct/>
              <w:topLinePunct w:val="0"/>
              <w:bidi w:val="0"/>
              <w:spacing w:line="594" w:lineRule="exact"/>
              <w:jc w:val="center"/>
              <w:rPr>
                <w:color w:val="auto"/>
              </w:rPr>
            </w:pPr>
          </w:p>
        </w:tc>
        <w:tc>
          <w:tcPr>
            <w:tcW w:w="3674" w:type="dxa"/>
            <w:gridSpan w:val="2"/>
            <w:vMerge w:val="continue"/>
            <w:tcBorders>
              <w:left w:val="single" w:color="auto" w:sz="4" w:space="0"/>
            </w:tcBorders>
            <w:vAlign w:val="center"/>
          </w:tcPr>
          <w:p w14:paraId="5062FA77">
            <w:pPr>
              <w:pageBreakBefore w:val="0"/>
              <w:kinsoku/>
              <w:overflowPunct/>
              <w:topLinePunct w:val="0"/>
              <w:bidi w:val="0"/>
              <w:spacing w:line="594" w:lineRule="exact"/>
              <w:jc w:val="center"/>
              <w:rPr>
                <w:color w:val="auto"/>
              </w:rPr>
            </w:pPr>
          </w:p>
        </w:tc>
      </w:tr>
    </w:tbl>
    <w:p w14:paraId="2EA6BDB6">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备注</w:t>
      </w:r>
      <w:r>
        <w:rPr>
          <w:rFonts w:hint="eastAsia" w:ascii="方正仿宋_GB2312" w:hAnsi="方正仿宋_GB2312" w:eastAsia="方正仿宋_GB2312" w:cs="方正仿宋_GB2312"/>
          <w:color w:val="auto"/>
          <w:sz w:val="28"/>
          <w:szCs w:val="28"/>
          <w:highlight w:val="none"/>
        </w:rPr>
        <w:t>：（1）投标人应根据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文件第</w:t>
      </w:r>
      <w:r>
        <w:rPr>
          <w:rFonts w:hint="eastAsia" w:ascii="方正仿宋_GB2312" w:hAnsi="方正仿宋_GB2312" w:eastAsia="方正仿宋_GB2312" w:cs="方正仿宋_GB2312"/>
          <w:color w:val="auto"/>
          <w:sz w:val="28"/>
          <w:szCs w:val="28"/>
          <w:highlight w:val="none"/>
          <w:lang w:eastAsia="zh-CN"/>
        </w:rPr>
        <w:t>二</w:t>
      </w:r>
      <w:r>
        <w:rPr>
          <w:rFonts w:hint="eastAsia" w:ascii="方正仿宋_GB2312" w:hAnsi="方正仿宋_GB2312" w:eastAsia="方正仿宋_GB2312" w:cs="方正仿宋_GB2312"/>
          <w:color w:val="auto"/>
          <w:sz w:val="28"/>
          <w:szCs w:val="28"/>
          <w:highlight w:val="none"/>
        </w:rPr>
        <w:t>章“采购需求”</w:t>
      </w:r>
      <w:r>
        <w:rPr>
          <w:rFonts w:hint="eastAsia" w:ascii="方正仿宋_GB2312" w:hAnsi="方正仿宋_GB2312" w:eastAsia="方正仿宋_GB2312" w:cs="方正仿宋_GB2312"/>
          <w:color w:val="auto"/>
          <w:sz w:val="28"/>
          <w:szCs w:val="28"/>
          <w:highlight w:val="none"/>
          <w:lang w:val="en-US" w:eastAsia="zh-CN"/>
        </w:rPr>
        <w:t>内容，按实逐条响应/偏离与否</w:t>
      </w:r>
      <w:r>
        <w:rPr>
          <w:rFonts w:hint="eastAsia" w:ascii="方正仿宋_GB2312" w:hAnsi="方正仿宋_GB2312" w:eastAsia="方正仿宋_GB2312" w:cs="方正仿宋_GB2312"/>
          <w:color w:val="auto"/>
          <w:sz w:val="28"/>
          <w:szCs w:val="28"/>
          <w:highlight w:val="none"/>
        </w:rPr>
        <w:t>填写本表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表中未列明的条款视为不满足该条款</w:t>
      </w:r>
      <w:r>
        <w:rPr>
          <w:rFonts w:hint="eastAsia" w:ascii="方正仿宋_GB2312" w:hAnsi="方正仿宋_GB2312" w:eastAsia="方正仿宋_GB2312" w:cs="方正仿宋_GB2312"/>
          <w:color w:val="auto"/>
          <w:sz w:val="28"/>
          <w:szCs w:val="28"/>
          <w:highlight w:val="none"/>
        </w:rPr>
        <w:t>；</w:t>
      </w:r>
    </w:p>
    <w:p w14:paraId="4DC7F392">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b w:val="0"/>
          <w:bCs/>
          <w:color w:val="auto"/>
          <w:sz w:val="28"/>
          <w:szCs w:val="28"/>
          <w:highlight w:val="none"/>
        </w:rPr>
        <w:t>投标人如果对</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章“采购需求”的响应有偏离，应将偏离条款逐条如实应答，并作出说明；</w:t>
      </w:r>
    </w:p>
    <w:p w14:paraId="5321228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（3）如不提供此表，则视为投标人不满足</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章的所有条款要求，其投标无效。</w:t>
      </w:r>
    </w:p>
    <w:p w14:paraId="624B679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default"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4</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第二章 采购需求</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内容中要求提供承诺函、声明函等资料的，未提供则视为该条款不满足。</w:t>
      </w:r>
    </w:p>
    <w:p w14:paraId="69A21BA5">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）在采购人与中标人签订合同时，如中标人未在</w:t>
      </w:r>
      <w:r>
        <w:rPr>
          <w:rFonts w:hint="eastAsia" w:ascii="方正仿宋_GB2312" w:hAnsi="方正仿宋_GB2312" w:eastAsia="方正仿宋_GB2312" w:cs="方正仿宋_GB2312"/>
          <w:b w:val="0"/>
          <w:bCs/>
          <w:color w:val="auto"/>
          <w:sz w:val="28"/>
          <w:szCs w:val="28"/>
          <w:highlight w:val="none"/>
          <w:lang w:eastAsia="zh-CN"/>
        </w:rPr>
        <w:t>响应</w:t>
      </w:r>
      <w:r>
        <w:rPr>
          <w:rFonts w:hint="eastAsia" w:ascii="方正仿宋_GB2312" w:hAnsi="方正仿宋_GB2312" w:eastAsia="方正仿宋_GB2312" w:cs="方正仿宋_GB2312"/>
          <w:b w:val="0"/>
          <w:bCs/>
          <w:color w:val="auto"/>
          <w:sz w:val="28"/>
          <w:szCs w:val="28"/>
          <w:highlight w:val="none"/>
        </w:rPr>
        <w:t>文件“采购需求偏离表”中列出偏离说明，无论已发生或即将发生任何情形，均视为完全符合</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文件要求，并写入合同。若中标人在合同签订前，以上述事项为借口而不履行合同签订手续及执行合同，则视作拒绝与采购人签订合同。</w:t>
      </w:r>
    </w:p>
    <w:p w14:paraId="36D1A7D3">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27B2D247">
      <w:pPr>
        <w:keepNext w:val="0"/>
        <w:keepLines w:val="0"/>
        <w:pageBreakBefore w:val="0"/>
        <w:widowControl w:val="0"/>
        <w:kinsoku/>
        <w:wordWrap/>
        <w:overflowPunct/>
        <w:topLinePunct w:val="0"/>
        <w:autoSpaceDE/>
        <w:autoSpaceDN/>
        <w:bidi w:val="0"/>
        <w:adjustRightInd w:val="0"/>
        <w:snapToGrid w:val="0"/>
        <w:spacing w:before="50" w:line="594" w:lineRule="exact"/>
        <w:ind w:firstLine="552"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2D2E4EE">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eastAsia" w:ascii="方正仿宋_GB2312" w:hAnsi="方正仿宋_GB2312" w:eastAsia="方正仿宋_GB2312" w:cs="方正仿宋_GB2312"/>
          <w:color w:val="auto"/>
          <w:sz w:val="28"/>
          <w:szCs w:val="28"/>
          <w:highlight w:val="none"/>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r>
        <w:rPr>
          <w:rFonts w:hint="eastAsia" w:ascii="方正仿宋_GB2312" w:hAnsi="方正仿宋_GB2312" w:eastAsia="方正仿宋_GB2312" w:cs="方正仿宋_GB2312"/>
          <w:color w:val="auto"/>
          <w:sz w:val="28"/>
          <w:szCs w:val="28"/>
          <w:highlight w:val="none"/>
        </w:rPr>
        <w:t xml:space="preserve"> </w:t>
      </w:r>
    </w:p>
    <w:p w14:paraId="6883DC6B">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（十一）服务方案</w:t>
      </w:r>
    </w:p>
    <w:p w14:paraId="6C9BD82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仿宋_GB2312" w:hAnsi="方正仿宋_GB2312" w:eastAsia="方正仿宋_GB2312" w:cs="方正仿宋_GB2312"/>
          <w:color w:val="auto"/>
          <w:sz w:val="28"/>
          <w:szCs w:val="28"/>
          <w:lang w:val="en-US" w:eastAsia="zh-CN"/>
        </w:rPr>
        <w:t>根据投标人针对本项目的相关方案（包括但不限于服务方案、应急预案、承诺函等）进行提供，格式自拟。</w:t>
      </w:r>
    </w:p>
    <w:p w14:paraId="66309906">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（十二）投标人认为需要提供的证明材料</w:t>
      </w:r>
    </w:p>
    <w:p w14:paraId="6033FE12">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（加盖投标人公章）</w:t>
      </w:r>
    </w:p>
    <w:p w14:paraId="0FBD30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宋体" w:hAnsi="宋体" w:eastAsia="宋体"/>
          <w:color w:val="auto"/>
          <w:sz w:val="22"/>
          <w:szCs w:val="22"/>
          <w:lang w:eastAsia="zh-CN"/>
        </w:rPr>
      </w:pPr>
      <w:r>
        <w:rPr>
          <w:rFonts w:hint="eastAsia" w:ascii="方正仿宋_GB2312" w:hAnsi="方正仿宋_GB2312" w:eastAsia="方正仿宋_GB2312" w:cs="方正仿宋_GB2312"/>
          <w:color w:val="auto"/>
          <w:sz w:val="28"/>
          <w:szCs w:val="28"/>
          <w:lang w:eastAsia="zh-CN"/>
        </w:rPr>
        <w:t>如：</w:t>
      </w:r>
      <w:r>
        <w:rPr>
          <w:rFonts w:hint="eastAsia" w:ascii="方正仿宋_GB2312" w:hAnsi="方正仿宋_GB2312" w:eastAsia="方正仿宋_GB2312" w:cs="方正仿宋_GB2312"/>
          <w:color w:val="auto"/>
          <w:kern w:val="0"/>
          <w:sz w:val="28"/>
          <w:szCs w:val="28"/>
          <w:lang w:val="en-US" w:eastAsia="zh-CN" w:bidi="ar-SA"/>
        </w:rPr>
        <w:t>1、《投标人资格声明承诺函》（附件3）；2、营业执照副本(或者法人登记证书)以及组织机构代码证副本复印件；3、政府采购活动前3年内在经营活动中没有重大违法记录的书面声明；4、“信用中国”查询记录截图或重大违法记录书面声明；5、证书原件扫描件；6、类似业绩………并加以标注。</w:t>
      </w:r>
    </w:p>
    <w:p w14:paraId="1A04697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7448F52A">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7176AEF">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7337610E">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43CD932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3260E7F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17262682">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EEB1926">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246EA873">
      <w:pPr>
        <w:pageBreakBefore w:val="0"/>
        <w:kinsoku/>
        <w:overflowPunct/>
        <w:topLinePunct w:val="0"/>
        <w:bidi w:val="0"/>
        <w:spacing w:line="594" w:lineRule="exact"/>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FF79724-9B1B-4949-91D6-AA6414B4EB1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9F4C09C-6D50-4B37-8AC4-142D73FFA8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3" w:fontKey="{398CB2ED-A381-42AD-9A42-6F645F4CB0C5}"/>
  </w:font>
  <w:font w:name="方正楷体_GB2312">
    <w:panose1 w:val="02000000000000000000"/>
    <w:charset w:val="86"/>
    <w:family w:val="auto"/>
    <w:pitch w:val="default"/>
    <w:sig w:usb0="A00002BF" w:usb1="184F6CFA" w:usb2="00000012" w:usb3="00000000" w:csb0="00040001" w:csb1="00000000"/>
    <w:embedRegular r:id="rId4" w:fontKey="{05D8322F-E9D2-49AA-A6A6-CA05273C6F96}"/>
  </w:font>
  <w:font w:name="方正仿宋_GB2312">
    <w:panose1 w:val="02000000000000000000"/>
    <w:charset w:val="86"/>
    <w:family w:val="auto"/>
    <w:pitch w:val="default"/>
    <w:sig w:usb0="A00002BF" w:usb1="184F6CFA" w:usb2="00000012" w:usb3="00000000" w:csb0="00040001" w:csb1="00000000"/>
    <w:embedRegular r:id="rId5" w:fontKey="{81380ED2-448E-4B00-A7A4-0B5626E16771}"/>
  </w:font>
  <w:font w:name="仿宋_GB2312">
    <w:panose1 w:val="02010609030101010101"/>
    <w:charset w:val="86"/>
    <w:family w:val="auto"/>
    <w:pitch w:val="default"/>
    <w:sig w:usb0="00000001" w:usb1="080E0000" w:usb2="00000000" w:usb3="00000000" w:csb0="00040000" w:csb1="00000000"/>
    <w:embedRegular r:id="rId6" w:fontKey="{40539B67-9893-4C0F-9BFF-7D9A55440366}"/>
  </w:font>
  <w:font w:name="楷体_GB2312">
    <w:panose1 w:val="02010609030101010101"/>
    <w:charset w:val="86"/>
    <w:family w:val="auto"/>
    <w:pitch w:val="default"/>
    <w:sig w:usb0="00000001" w:usb1="080E0000" w:usb2="00000000" w:usb3="00000000" w:csb0="00040000" w:csb1="00000000"/>
    <w:embedRegular r:id="rId7" w:fontKey="{E34EFA9C-F0A9-465E-9CC9-F945B4E961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00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23A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2D78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2D78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B455">
    <w:pPr>
      <w:pStyle w:val="13"/>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B156"/>
    <w:multiLevelType w:val="singleLevel"/>
    <w:tmpl w:val="9066B156"/>
    <w:lvl w:ilvl="0" w:tentative="0">
      <w:start w:val="13"/>
      <w:numFmt w:val="chineseCounting"/>
      <w:suff w:val="nothing"/>
      <w:lvlText w:val="%1、"/>
      <w:lvlJc w:val="left"/>
      <w:rPr>
        <w:rFonts w:hint="eastAsia"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0186BF0"/>
    <w:rsid w:val="037C12FE"/>
    <w:rsid w:val="04A20C84"/>
    <w:rsid w:val="04DF1A8A"/>
    <w:rsid w:val="052851DF"/>
    <w:rsid w:val="057E2ACE"/>
    <w:rsid w:val="06072398"/>
    <w:rsid w:val="07217D65"/>
    <w:rsid w:val="082E26DE"/>
    <w:rsid w:val="0A684BF5"/>
    <w:rsid w:val="0BA96AD9"/>
    <w:rsid w:val="0BC35DFF"/>
    <w:rsid w:val="0BF702D5"/>
    <w:rsid w:val="0D1A2232"/>
    <w:rsid w:val="0E127F0B"/>
    <w:rsid w:val="0E504C44"/>
    <w:rsid w:val="108A1444"/>
    <w:rsid w:val="111F7DDE"/>
    <w:rsid w:val="119F484E"/>
    <w:rsid w:val="13741F37"/>
    <w:rsid w:val="147F1FCF"/>
    <w:rsid w:val="154452C7"/>
    <w:rsid w:val="160E6919"/>
    <w:rsid w:val="16A0497A"/>
    <w:rsid w:val="16C1151A"/>
    <w:rsid w:val="171D5043"/>
    <w:rsid w:val="188B2D40"/>
    <w:rsid w:val="18DC41C7"/>
    <w:rsid w:val="1A960F3D"/>
    <w:rsid w:val="1B0754D1"/>
    <w:rsid w:val="1B6B1CB2"/>
    <w:rsid w:val="1B9853FB"/>
    <w:rsid w:val="1BCD0437"/>
    <w:rsid w:val="1BEA1453"/>
    <w:rsid w:val="1BEF65FF"/>
    <w:rsid w:val="1C071B9A"/>
    <w:rsid w:val="1D2C75DA"/>
    <w:rsid w:val="1D556AB9"/>
    <w:rsid w:val="1E0F1FE5"/>
    <w:rsid w:val="1E37214D"/>
    <w:rsid w:val="1EB45FDF"/>
    <w:rsid w:val="1FB20D03"/>
    <w:rsid w:val="212963D0"/>
    <w:rsid w:val="25466B49"/>
    <w:rsid w:val="275C6D02"/>
    <w:rsid w:val="28020CF2"/>
    <w:rsid w:val="291A4016"/>
    <w:rsid w:val="29852351"/>
    <w:rsid w:val="299504C6"/>
    <w:rsid w:val="29E740BD"/>
    <w:rsid w:val="2B691A26"/>
    <w:rsid w:val="2B9F3B9D"/>
    <w:rsid w:val="2C2B5AF6"/>
    <w:rsid w:val="2CD1750E"/>
    <w:rsid w:val="2D021844"/>
    <w:rsid w:val="2D093573"/>
    <w:rsid w:val="2D6849AB"/>
    <w:rsid w:val="2D6E0530"/>
    <w:rsid w:val="2DB27F09"/>
    <w:rsid w:val="2DE27D71"/>
    <w:rsid w:val="2DED780C"/>
    <w:rsid w:val="2E140D45"/>
    <w:rsid w:val="2E823320"/>
    <w:rsid w:val="30317CF7"/>
    <w:rsid w:val="30C9273C"/>
    <w:rsid w:val="30ED7C07"/>
    <w:rsid w:val="31174CFA"/>
    <w:rsid w:val="31A43590"/>
    <w:rsid w:val="3347261A"/>
    <w:rsid w:val="3393449F"/>
    <w:rsid w:val="34AF5A8D"/>
    <w:rsid w:val="34DC7903"/>
    <w:rsid w:val="34FB6E74"/>
    <w:rsid w:val="355E0787"/>
    <w:rsid w:val="35B1670F"/>
    <w:rsid w:val="35BC359E"/>
    <w:rsid w:val="38546BD3"/>
    <w:rsid w:val="38B303AD"/>
    <w:rsid w:val="38F45119"/>
    <w:rsid w:val="398F308A"/>
    <w:rsid w:val="3A080B60"/>
    <w:rsid w:val="3AF31A4C"/>
    <w:rsid w:val="3BC52F1E"/>
    <w:rsid w:val="3BC76989"/>
    <w:rsid w:val="3BD258C9"/>
    <w:rsid w:val="3C0D3013"/>
    <w:rsid w:val="3C63716D"/>
    <w:rsid w:val="3EBD5E03"/>
    <w:rsid w:val="3F871FA1"/>
    <w:rsid w:val="40381A73"/>
    <w:rsid w:val="40972EAA"/>
    <w:rsid w:val="40E71D8C"/>
    <w:rsid w:val="41444556"/>
    <w:rsid w:val="42F62F94"/>
    <w:rsid w:val="433035FF"/>
    <w:rsid w:val="43364276"/>
    <w:rsid w:val="443446F0"/>
    <w:rsid w:val="486E62F5"/>
    <w:rsid w:val="489060B1"/>
    <w:rsid w:val="4944592C"/>
    <w:rsid w:val="4CDE5710"/>
    <w:rsid w:val="4D3F2693"/>
    <w:rsid w:val="4D4013D7"/>
    <w:rsid w:val="4F507A1C"/>
    <w:rsid w:val="503D16A3"/>
    <w:rsid w:val="51EF7AC4"/>
    <w:rsid w:val="529C602F"/>
    <w:rsid w:val="52ED3EF3"/>
    <w:rsid w:val="534E663E"/>
    <w:rsid w:val="55D03827"/>
    <w:rsid w:val="56725887"/>
    <w:rsid w:val="585437B0"/>
    <w:rsid w:val="586D424A"/>
    <w:rsid w:val="58945FCD"/>
    <w:rsid w:val="593D6327"/>
    <w:rsid w:val="5AA85494"/>
    <w:rsid w:val="5B257C13"/>
    <w:rsid w:val="5B274F05"/>
    <w:rsid w:val="5B552247"/>
    <w:rsid w:val="5EB35FFD"/>
    <w:rsid w:val="5F401426"/>
    <w:rsid w:val="5FBB4F88"/>
    <w:rsid w:val="607B17DC"/>
    <w:rsid w:val="611A4366"/>
    <w:rsid w:val="623954AB"/>
    <w:rsid w:val="641C6E32"/>
    <w:rsid w:val="64784CB8"/>
    <w:rsid w:val="64CC2606"/>
    <w:rsid w:val="65B80847"/>
    <w:rsid w:val="6A244627"/>
    <w:rsid w:val="6A370DA1"/>
    <w:rsid w:val="6BC36E5C"/>
    <w:rsid w:val="6C2216A6"/>
    <w:rsid w:val="6D0D7944"/>
    <w:rsid w:val="6E192634"/>
    <w:rsid w:val="6EF71ED3"/>
    <w:rsid w:val="6EFB3443"/>
    <w:rsid w:val="6F4A4F05"/>
    <w:rsid w:val="71E35EF7"/>
    <w:rsid w:val="72FF629D"/>
    <w:rsid w:val="735E5558"/>
    <w:rsid w:val="73AA2F96"/>
    <w:rsid w:val="73F803E7"/>
    <w:rsid w:val="742C0862"/>
    <w:rsid w:val="743A2D00"/>
    <w:rsid w:val="75251147"/>
    <w:rsid w:val="754125E9"/>
    <w:rsid w:val="75B86625"/>
    <w:rsid w:val="761236C0"/>
    <w:rsid w:val="77321399"/>
    <w:rsid w:val="77C83101"/>
    <w:rsid w:val="79050385"/>
    <w:rsid w:val="790C67CA"/>
    <w:rsid w:val="79FE2E4C"/>
    <w:rsid w:val="7A666C6E"/>
    <w:rsid w:val="7B3B008E"/>
    <w:rsid w:val="7BE41311"/>
    <w:rsid w:val="7C8927E1"/>
    <w:rsid w:val="7C9A1517"/>
    <w:rsid w:val="7CF130FA"/>
    <w:rsid w:val="7D825281"/>
    <w:rsid w:val="7F58120E"/>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tLeast"/>
      <w:outlineLvl w:val="0"/>
    </w:pPr>
    <w:rPr>
      <w:b/>
      <w:bCs/>
      <w:kern w:val="44"/>
      <w:sz w:val="28"/>
      <w:szCs w:val="44"/>
    </w:rPr>
  </w:style>
  <w:style w:type="paragraph" w:styleId="3">
    <w:name w:val="heading 2"/>
    <w:basedOn w:val="1"/>
    <w:next w:val="1"/>
    <w:autoRedefine/>
    <w:qFormat/>
    <w:uiPriority w:val="99"/>
    <w:pPr>
      <w:keepNext/>
      <w:keepLines/>
      <w:adjustRightInd w:val="0"/>
      <w:snapToGrid w:val="0"/>
      <w:spacing w:line="360" w:lineRule="auto"/>
      <w:outlineLvl w:val="1"/>
    </w:pPr>
    <w:rPr>
      <w:rFonts w:ascii="宋体" w:hAnsi="宋体" w:cs="宋体"/>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semiHidden/>
    <w:unhideWhenUsed/>
    <w:qFormat/>
    <w:uiPriority w:val="99"/>
    <w:pPr>
      <w:widowControl/>
      <w:ind w:firstLine="420"/>
      <w:jc w:val="left"/>
    </w:pPr>
    <w:rPr>
      <w:kern w:val="0"/>
      <w:sz w:val="20"/>
      <w:szCs w:val="20"/>
    </w:rPr>
  </w:style>
  <w:style w:type="paragraph" w:styleId="6">
    <w:name w:val="annotation text"/>
    <w:basedOn w:val="1"/>
    <w:semiHidden/>
    <w:qFormat/>
    <w:uiPriority w:val="99"/>
    <w:pPr>
      <w:jc w:val="left"/>
    </w:pPr>
  </w:style>
  <w:style w:type="paragraph" w:styleId="7">
    <w:name w:val="Body Text"/>
    <w:basedOn w:val="1"/>
    <w:next w:val="1"/>
    <w:autoRedefine/>
    <w:semiHidden/>
    <w:unhideWhenUsed/>
    <w:qFormat/>
    <w:uiPriority w:val="99"/>
    <w:pPr>
      <w:spacing w:after="120"/>
    </w:pPr>
  </w:style>
  <w:style w:type="paragraph" w:styleId="8">
    <w:name w:val="Body Text Indent"/>
    <w:basedOn w:val="1"/>
    <w:autoRedefine/>
    <w:semiHidden/>
    <w:unhideWhenUsed/>
    <w:qFormat/>
    <w:uiPriority w:val="99"/>
    <w:pPr>
      <w:spacing w:after="120"/>
      <w:ind w:left="420" w:leftChars="200"/>
    </w:pPr>
  </w:style>
  <w:style w:type="paragraph" w:styleId="9">
    <w:name w:val="List 2"/>
    <w:basedOn w:val="1"/>
    <w:next w:val="10"/>
    <w:autoRedefine/>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0">
    <w:name w:val="Plain Text"/>
    <w:basedOn w:val="1"/>
    <w:next w:val="1"/>
    <w:autoRedefine/>
    <w:qFormat/>
    <w:uiPriority w:val="0"/>
    <w:rPr>
      <w:rFonts w:ascii="宋体" w:hAnsi="Calibri" w:eastAsia="宋体" w:cs="Times New Roman"/>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footer"/>
    <w:basedOn w:val="1"/>
    <w:autoRedefine/>
    <w:unhideWhenUsed/>
    <w:qFormat/>
    <w:uiPriority w:val="99"/>
    <w:pPr>
      <w:snapToGrid w:val="0"/>
      <w:jc w:val="left"/>
    </w:pPr>
    <w:rPr>
      <w:sz w:val="18"/>
      <w:szCs w:val="18"/>
    </w:rPr>
  </w:style>
  <w:style w:type="paragraph" w:styleId="13">
    <w:name w:val="header"/>
    <w:basedOn w:val="1"/>
    <w:next w:val="12"/>
    <w:autoRedefine/>
    <w:unhideWhenUsed/>
    <w:qFormat/>
    <w:uiPriority w:val="99"/>
    <w:pPr>
      <w:pBdr>
        <w:bottom w:val="single" w:color="auto" w:sz="6" w:space="1"/>
      </w:pBdr>
      <w:snapToGrid w:val="0"/>
      <w:jc w:val="center"/>
    </w:pPr>
    <w:rPr>
      <w:sz w:val="18"/>
      <w:szCs w:val="18"/>
    </w:rPr>
  </w:style>
  <w:style w:type="paragraph" w:styleId="14">
    <w:name w:val="toc 1"/>
    <w:basedOn w:val="1"/>
    <w:next w:val="1"/>
    <w:autoRedefine/>
    <w:unhideWhenUsed/>
    <w:qFormat/>
    <w:uiPriority w:val="39"/>
    <w:rPr>
      <w:b/>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6"/>
    <w:next w:val="1"/>
    <w:qFormat/>
    <w:uiPriority w:val="99"/>
    <w:rPr>
      <w:b/>
      <w:bCs/>
    </w:rPr>
  </w:style>
  <w:style w:type="paragraph" w:styleId="17">
    <w:name w:val="Body Text First Indent"/>
    <w:basedOn w:val="7"/>
    <w:autoRedefine/>
    <w:qFormat/>
    <w:uiPriority w:val="0"/>
    <w:pPr>
      <w:autoSpaceDE w:val="0"/>
      <w:autoSpaceDN w:val="0"/>
      <w:adjustRightInd w:val="0"/>
      <w:spacing w:line="306" w:lineRule="exact"/>
      <w:ind w:firstLine="454" w:firstLineChars="200"/>
      <w:jc w:val="left"/>
    </w:pPr>
    <w:rPr>
      <w:sz w:val="24"/>
    </w:rPr>
  </w:style>
  <w:style w:type="paragraph" w:styleId="18">
    <w:name w:val="Body Text First Indent 2"/>
    <w:basedOn w:val="8"/>
    <w:autoRedefine/>
    <w:semiHidden/>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3">
    <w:name w:val="列出段落1"/>
    <w:basedOn w:val="1"/>
    <w:autoRedefine/>
    <w:qFormat/>
    <w:uiPriority w:val="0"/>
    <w:pPr>
      <w:ind w:firstLine="420" w:firstLineChars="200"/>
    </w:pPr>
    <w:rPr>
      <w:rFonts w:ascii="Calibri" w:hAnsi="Calibri"/>
      <w:szCs w:val="22"/>
    </w:rPr>
  </w:style>
  <w:style w:type="paragraph" w:customStyle="1" w:styleId="24">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25">
    <w:name w:val="样式 首行缩进:  0.74 厘米 行距: 1.5 倍行距"/>
    <w:basedOn w:val="1"/>
    <w:autoRedefine/>
    <w:qFormat/>
    <w:uiPriority w:val="0"/>
    <w:pPr>
      <w:spacing w:line="360" w:lineRule="auto"/>
      <w:ind w:firstLine="420"/>
    </w:pPr>
    <w:rPr>
      <w:rFonts w:cs="宋体"/>
      <w:sz w:val="24"/>
      <w:szCs w:val="20"/>
    </w:rPr>
  </w:style>
  <w:style w:type="paragraph" w:customStyle="1" w:styleId="26">
    <w:name w:val="p15"/>
    <w:basedOn w:val="1"/>
    <w:autoRedefine/>
    <w:qFormat/>
    <w:uiPriority w:val="0"/>
    <w:pPr>
      <w:snapToGrid/>
      <w:spacing w:after="0"/>
    </w:pPr>
    <w:rPr>
      <w:rFonts w:ascii="Arial Unicode MS" w:hAnsi="Arial Unicode MS" w:eastAsia="宋体" w:cs="宋体"/>
      <w:color w:val="000000"/>
      <w:sz w:val="24"/>
      <w:szCs w:val="24"/>
    </w:rPr>
  </w:style>
  <w:style w:type="paragraph" w:styleId="27">
    <w:name w:val="List Paragraph"/>
    <w:basedOn w:val="1"/>
    <w:autoRedefine/>
    <w:qFormat/>
    <w:uiPriority w:val="34"/>
    <w:pPr>
      <w:ind w:firstLine="420" w:firstLineChars="200"/>
    </w:pPr>
  </w:style>
  <w:style w:type="paragraph" w:customStyle="1" w:styleId="28">
    <w:name w:val="Normal_7"/>
    <w:next w:val="29"/>
    <w:autoRedefine/>
    <w:qFormat/>
    <w:uiPriority w:val="0"/>
    <w:pPr>
      <w:widowControl w:val="0"/>
      <w:jc w:val="both"/>
    </w:pPr>
    <w:rPr>
      <w:rFonts w:ascii="Calibri" w:hAnsi="Calibri" w:eastAsia="宋体" w:cs="Times New Roman"/>
      <w:kern w:val="2"/>
      <w:sz w:val="24"/>
      <w:szCs w:val="22"/>
      <w:lang w:val="en-US" w:eastAsia="zh-CN" w:bidi="ar-SA"/>
    </w:rPr>
  </w:style>
  <w:style w:type="paragraph" w:customStyle="1" w:styleId="29">
    <w:name w:val="Table of Authorities_0"/>
    <w:basedOn w:val="28"/>
    <w:next w:val="28"/>
    <w:autoRedefine/>
    <w:unhideWhenUsed/>
    <w:qFormat/>
    <w:uiPriority w:val="99"/>
    <w:pPr>
      <w:ind w:left="420" w:leftChars="200"/>
    </w:pPr>
  </w:style>
  <w:style w:type="paragraph" w:customStyle="1" w:styleId="30">
    <w:name w:val="Table Text"/>
    <w:basedOn w:val="1"/>
    <w:autoRedefine/>
    <w:semiHidden/>
    <w:qFormat/>
    <w:uiPriority w:val="0"/>
    <w:rPr>
      <w:rFonts w:ascii="宋体" w:hAnsi="宋体" w:eastAsia="宋体" w:cs="宋体"/>
      <w:sz w:val="19"/>
      <w:szCs w:val="19"/>
      <w:lang w:val="en-US" w:eastAsia="en-US"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Normal Indent"/>
    <w:basedOn w:val="1"/>
    <w:next w:val="22"/>
    <w:autoRedefine/>
    <w:qFormat/>
    <w:uiPriority w:val="0"/>
    <w:pPr>
      <w:ind w:firstLine="420"/>
    </w:pPr>
    <w:rPr>
      <w:rFonts w:ascii="Times New Roman" w:hAnsi="Times New Roman" w:cs="Times New Roman"/>
      <w:sz w:val="20"/>
      <w:szCs w:val="20"/>
    </w:rPr>
  </w:style>
  <w:style w:type="paragraph" w:customStyle="1" w:styleId="33">
    <w:name w:val="Normal Indent_c257a629-5f60-4aab-b17d-6d619b13e4b7"/>
    <w:basedOn w:val="1"/>
    <w:next w:val="22"/>
    <w:autoRedefine/>
    <w:qFormat/>
    <w:uiPriority w:val="0"/>
    <w:pPr>
      <w:ind w:firstLine="420"/>
    </w:pPr>
    <w:rPr>
      <w:rFonts w:ascii="Times New Roman" w:hAnsi="Times New Roman" w:cs="Times New Roman"/>
      <w:sz w:val="20"/>
      <w:szCs w:val="20"/>
    </w:rPr>
  </w:style>
  <w:style w:type="paragraph" w:customStyle="1" w:styleId="34">
    <w:name w:val="TableOfAuthoring"/>
    <w:basedOn w:val="1"/>
    <w:next w:val="1"/>
    <w:autoRedefine/>
    <w:qFormat/>
    <w:uiPriority w:val="0"/>
    <w:pPr>
      <w:ind w:left="420" w:leftChars="200"/>
      <w:jc w:val="both"/>
      <w:textAlignment w:val="baseline"/>
    </w:p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3954</Words>
  <Characters>4194</Characters>
  <Lines>0</Lines>
  <Paragraphs>0</Paragraphs>
  <TotalTime>5</TotalTime>
  <ScaleCrop>false</ScaleCrop>
  <LinksUpToDate>false</LinksUpToDate>
  <CharactersWithSpaces>4519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Administrator</cp:lastModifiedBy>
  <cp:lastPrinted>2025-11-06T03:54:00Z</cp:lastPrinted>
  <dcterms:modified xsi:type="dcterms:W3CDTF">2026-03-24T02:19:04Z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50FE4272A7C9468D9EF68F796AA185C5_13</vt:lpwstr>
  </property>
  <property fmtid="{D5CDD505-2E9C-101B-9397-08002B2CF9AE}" pid="4" name="KSOTemplateDocerSaveRecord">
    <vt:lpwstr>eyJoZGlkIjoiY2UyOTRjNGE4MmJlYWYxODFjYjlhM2NjMmZlMTIwZjgiLCJ1c2VySWQiOiIyMjY3MjMxMTYifQ==</vt:lpwstr>
  </property>
</Properties>
</file>