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4704">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77BD28BE">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6E8F5BE6">
      <w:pPr>
        <w:jc w:val="center"/>
        <w:rPr>
          <w:rFonts w:hint="eastAsia" w:ascii="宋体" w:hAnsi="宋体"/>
          <w:color w:val="auto"/>
          <w:spacing w:val="40"/>
          <w:sz w:val="44"/>
          <w:szCs w:val="44"/>
        </w:rPr>
      </w:pPr>
    </w:p>
    <w:p w14:paraId="206CA3FA">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53F3C68">
      <w:pPr>
        <w:jc w:val="both"/>
        <w:rPr>
          <w:rFonts w:hint="eastAsia" w:ascii="宋体" w:hAnsi="宋体"/>
          <w:color w:val="auto"/>
          <w:spacing w:val="40"/>
          <w:sz w:val="44"/>
          <w:szCs w:val="44"/>
        </w:rPr>
      </w:pPr>
    </w:p>
    <w:p w14:paraId="5BB913B4">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83016DC">
      <w:pPr>
        <w:pStyle w:val="11"/>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2026年度医疗责任保险服务采购项目</w:t>
      </w:r>
    </w:p>
    <w:p w14:paraId="15DA88EC">
      <w:pPr>
        <w:pStyle w:val="11"/>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7FBCD047">
      <w:pPr>
        <w:pStyle w:val="11"/>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HNTJRY-TJ2026-00</w:t>
      </w:r>
      <w:r>
        <w:rPr>
          <w:rFonts w:hint="eastAsia" w:ascii="黑体" w:hAnsi="黑体" w:eastAsia="黑体" w:cs="黑体"/>
          <w:b w:val="0"/>
          <w:bCs w:val="0"/>
          <w:color w:val="auto"/>
          <w:sz w:val="36"/>
          <w:szCs w:val="36"/>
          <w:u w:val="single"/>
          <w:lang w:val="en-US" w:eastAsia="zh-CN"/>
        </w:rPr>
        <w:t>4</w:t>
      </w:r>
    </w:p>
    <w:p w14:paraId="032A42E0">
      <w:pPr>
        <w:spacing w:line="360" w:lineRule="auto"/>
        <w:jc w:val="both"/>
        <w:rPr>
          <w:rFonts w:hint="eastAsia" w:ascii="黑体" w:hAnsi="黑体" w:eastAsia="黑体" w:cs="黑体"/>
          <w:color w:val="auto"/>
          <w:sz w:val="32"/>
          <w:szCs w:val="32"/>
          <w:lang w:eastAsia="zh-CN"/>
        </w:rPr>
      </w:pPr>
    </w:p>
    <w:p w14:paraId="186D133E">
      <w:pPr>
        <w:spacing w:line="360" w:lineRule="auto"/>
        <w:jc w:val="both"/>
        <w:rPr>
          <w:rFonts w:hint="eastAsia" w:ascii="黑体" w:hAnsi="黑体" w:eastAsia="黑体" w:cs="黑体"/>
          <w:color w:val="auto"/>
          <w:sz w:val="32"/>
          <w:szCs w:val="32"/>
          <w:lang w:eastAsia="zh-CN"/>
        </w:rPr>
      </w:pPr>
    </w:p>
    <w:p w14:paraId="24F7C34E">
      <w:pPr>
        <w:pStyle w:val="2"/>
        <w:rPr>
          <w:rFonts w:hint="eastAsia"/>
          <w:color w:val="auto"/>
          <w:lang w:eastAsia="zh-CN"/>
        </w:rPr>
      </w:pPr>
    </w:p>
    <w:p w14:paraId="5CA1139D">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月</w:t>
      </w:r>
    </w:p>
    <w:p w14:paraId="2A8494E1">
      <w:pPr>
        <w:pStyle w:val="18"/>
        <w:ind w:left="0" w:leftChars="0" w:firstLine="0" w:firstLineChars="0"/>
        <w:jc w:val="left"/>
        <w:rPr>
          <w:rFonts w:hint="eastAsia"/>
          <w:color w:val="auto"/>
          <w:lang w:val="en-US" w:eastAsia="zh-CN"/>
        </w:rPr>
      </w:pPr>
    </w:p>
    <w:p w14:paraId="568DEC3C">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A4572B5">
      <w:pPr>
        <w:ind w:firstLine="420" w:firstLineChars="0"/>
        <w:jc w:val="center"/>
        <w:rPr>
          <w:rFonts w:hint="eastAsia" w:ascii="宋体" w:hAnsi="宋体"/>
          <w:b/>
          <w:color w:val="auto"/>
          <w:sz w:val="44"/>
          <w:szCs w:val="44"/>
        </w:rPr>
      </w:pPr>
    </w:p>
    <w:p w14:paraId="13748BE7">
      <w:pPr>
        <w:ind w:firstLine="420" w:firstLineChars="0"/>
        <w:jc w:val="center"/>
        <w:rPr>
          <w:rFonts w:hint="eastAsia" w:ascii="宋体" w:hAnsi="宋体"/>
          <w:b/>
          <w:color w:val="auto"/>
          <w:sz w:val="44"/>
          <w:szCs w:val="44"/>
        </w:rPr>
      </w:pPr>
    </w:p>
    <w:p w14:paraId="5D397709">
      <w:pPr>
        <w:ind w:firstLine="420" w:firstLineChars="0"/>
        <w:jc w:val="center"/>
        <w:rPr>
          <w:rFonts w:hint="eastAsia" w:ascii="宋体" w:hAnsi="宋体"/>
          <w:b/>
          <w:color w:val="auto"/>
          <w:sz w:val="44"/>
          <w:szCs w:val="44"/>
        </w:rPr>
      </w:pPr>
    </w:p>
    <w:p w14:paraId="25F1F9E3">
      <w:pPr>
        <w:ind w:firstLine="420" w:firstLineChars="0"/>
        <w:jc w:val="center"/>
        <w:rPr>
          <w:rFonts w:hint="eastAsia" w:ascii="宋体" w:hAnsi="宋体"/>
          <w:b/>
          <w:color w:val="auto"/>
          <w:sz w:val="44"/>
          <w:szCs w:val="44"/>
        </w:rPr>
      </w:pPr>
    </w:p>
    <w:p w14:paraId="7AA0F15E">
      <w:pPr>
        <w:ind w:firstLine="420" w:firstLineChars="0"/>
        <w:jc w:val="center"/>
        <w:rPr>
          <w:rFonts w:hint="eastAsia" w:ascii="宋体" w:hAnsi="宋体"/>
          <w:b/>
          <w:color w:val="auto"/>
          <w:sz w:val="44"/>
          <w:szCs w:val="44"/>
        </w:rPr>
      </w:pPr>
    </w:p>
    <w:p w14:paraId="3E1DC8BA">
      <w:pPr>
        <w:ind w:firstLine="420" w:firstLineChars="0"/>
        <w:jc w:val="center"/>
        <w:rPr>
          <w:rFonts w:hint="eastAsia" w:ascii="宋体" w:hAnsi="宋体"/>
          <w:b/>
          <w:color w:val="auto"/>
          <w:sz w:val="44"/>
          <w:szCs w:val="44"/>
        </w:rPr>
      </w:pPr>
    </w:p>
    <w:p w14:paraId="5F44AFA7">
      <w:pPr>
        <w:ind w:firstLine="420" w:firstLineChars="0"/>
        <w:jc w:val="center"/>
        <w:rPr>
          <w:rFonts w:hint="eastAsia" w:ascii="宋体" w:hAnsi="宋体"/>
          <w:b/>
          <w:color w:val="auto"/>
          <w:sz w:val="44"/>
          <w:szCs w:val="44"/>
        </w:rPr>
      </w:pPr>
    </w:p>
    <w:p w14:paraId="17449F5C">
      <w:pPr>
        <w:ind w:firstLine="420" w:firstLineChars="0"/>
        <w:jc w:val="center"/>
        <w:rPr>
          <w:rFonts w:hint="eastAsia" w:ascii="宋体" w:hAnsi="宋体"/>
          <w:b/>
          <w:color w:val="auto"/>
          <w:sz w:val="44"/>
          <w:szCs w:val="44"/>
        </w:rPr>
      </w:pPr>
    </w:p>
    <w:p w14:paraId="79CCE4C4">
      <w:pPr>
        <w:ind w:firstLine="420" w:firstLineChars="0"/>
        <w:jc w:val="center"/>
        <w:rPr>
          <w:rFonts w:hint="eastAsia" w:ascii="宋体" w:hAnsi="宋体"/>
          <w:b/>
          <w:color w:val="auto"/>
          <w:sz w:val="44"/>
          <w:szCs w:val="44"/>
        </w:rPr>
      </w:pPr>
    </w:p>
    <w:p w14:paraId="4A56E4B5">
      <w:pPr>
        <w:ind w:firstLine="420" w:firstLineChars="0"/>
        <w:jc w:val="center"/>
        <w:rPr>
          <w:rFonts w:hint="eastAsia" w:ascii="宋体" w:hAnsi="宋体"/>
          <w:b/>
          <w:color w:val="auto"/>
          <w:sz w:val="44"/>
          <w:szCs w:val="44"/>
        </w:rPr>
      </w:pPr>
    </w:p>
    <w:p w14:paraId="7C2F0F4A">
      <w:pPr>
        <w:ind w:firstLine="420" w:firstLineChars="0"/>
        <w:jc w:val="center"/>
        <w:rPr>
          <w:rFonts w:hint="eastAsia" w:ascii="宋体" w:hAnsi="宋体"/>
          <w:b/>
          <w:color w:val="auto"/>
          <w:sz w:val="44"/>
          <w:szCs w:val="44"/>
        </w:rPr>
      </w:pPr>
    </w:p>
    <w:p w14:paraId="74906E9A">
      <w:pPr>
        <w:ind w:firstLine="420" w:firstLineChars="0"/>
        <w:jc w:val="center"/>
        <w:rPr>
          <w:rFonts w:hint="eastAsia" w:ascii="宋体" w:hAnsi="宋体"/>
          <w:b/>
          <w:color w:val="auto"/>
          <w:sz w:val="44"/>
          <w:szCs w:val="44"/>
        </w:rPr>
      </w:pPr>
    </w:p>
    <w:p w14:paraId="21880415">
      <w:pPr>
        <w:ind w:firstLine="420" w:firstLineChars="0"/>
        <w:jc w:val="center"/>
        <w:rPr>
          <w:rFonts w:hint="eastAsia" w:ascii="宋体" w:hAnsi="宋体"/>
          <w:b/>
          <w:color w:val="auto"/>
          <w:sz w:val="44"/>
          <w:szCs w:val="44"/>
        </w:rPr>
      </w:pPr>
    </w:p>
    <w:p w14:paraId="6B3A9DF3">
      <w:pPr>
        <w:ind w:firstLine="420" w:firstLineChars="0"/>
        <w:jc w:val="center"/>
        <w:rPr>
          <w:rFonts w:hint="eastAsia" w:ascii="宋体" w:hAnsi="宋体"/>
          <w:b/>
          <w:color w:val="auto"/>
          <w:sz w:val="44"/>
          <w:szCs w:val="44"/>
        </w:rPr>
      </w:pPr>
    </w:p>
    <w:p w14:paraId="78B00495">
      <w:pPr>
        <w:ind w:firstLine="420" w:firstLineChars="0"/>
        <w:jc w:val="center"/>
        <w:rPr>
          <w:rFonts w:hint="eastAsia" w:ascii="宋体" w:hAnsi="宋体"/>
          <w:b/>
          <w:color w:val="auto"/>
          <w:sz w:val="44"/>
          <w:szCs w:val="44"/>
        </w:rPr>
      </w:pPr>
    </w:p>
    <w:p w14:paraId="337E5174">
      <w:pPr>
        <w:ind w:firstLine="420" w:firstLineChars="0"/>
        <w:jc w:val="center"/>
        <w:rPr>
          <w:rFonts w:hint="eastAsia" w:ascii="宋体" w:hAnsi="宋体"/>
          <w:b/>
          <w:color w:val="auto"/>
          <w:sz w:val="44"/>
          <w:szCs w:val="44"/>
        </w:rPr>
      </w:pPr>
    </w:p>
    <w:p w14:paraId="2E5662C3">
      <w:pPr>
        <w:ind w:firstLine="420" w:firstLineChars="0"/>
        <w:jc w:val="center"/>
        <w:rPr>
          <w:rFonts w:hint="eastAsia" w:ascii="宋体" w:hAnsi="宋体"/>
          <w:b/>
          <w:color w:val="auto"/>
          <w:sz w:val="44"/>
          <w:szCs w:val="44"/>
        </w:rPr>
      </w:pPr>
    </w:p>
    <w:p w14:paraId="4C470AE9">
      <w:pPr>
        <w:ind w:firstLine="420" w:firstLineChars="0"/>
        <w:jc w:val="center"/>
        <w:rPr>
          <w:rFonts w:hint="eastAsia" w:ascii="宋体" w:hAnsi="宋体"/>
          <w:b/>
          <w:color w:val="auto"/>
          <w:sz w:val="44"/>
          <w:szCs w:val="44"/>
        </w:rPr>
      </w:pPr>
    </w:p>
    <w:p w14:paraId="66DC57DD">
      <w:pPr>
        <w:ind w:firstLine="420" w:firstLineChars="0"/>
        <w:jc w:val="center"/>
        <w:rPr>
          <w:rFonts w:hint="eastAsia" w:ascii="宋体" w:hAnsi="宋体"/>
          <w:b/>
          <w:color w:val="auto"/>
          <w:sz w:val="44"/>
          <w:szCs w:val="44"/>
        </w:rPr>
      </w:pPr>
    </w:p>
    <w:p w14:paraId="457E41FE">
      <w:pPr>
        <w:ind w:firstLine="420" w:firstLineChars="0"/>
        <w:jc w:val="center"/>
        <w:rPr>
          <w:rFonts w:hint="eastAsia" w:ascii="宋体" w:hAnsi="宋体"/>
          <w:b/>
          <w:color w:val="auto"/>
          <w:sz w:val="44"/>
          <w:szCs w:val="44"/>
        </w:rPr>
      </w:pPr>
    </w:p>
    <w:p w14:paraId="09FAE360">
      <w:pPr>
        <w:ind w:firstLine="420" w:firstLineChars="0"/>
        <w:jc w:val="center"/>
        <w:rPr>
          <w:rFonts w:hint="eastAsia" w:ascii="宋体" w:hAnsi="宋体"/>
          <w:b/>
          <w:color w:val="auto"/>
          <w:sz w:val="44"/>
          <w:szCs w:val="44"/>
        </w:rPr>
      </w:pPr>
    </w:p>
    <w:p w14:paraId="507DA502">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3235333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2D16FB12">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75E95E79">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6E115797">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0B3D70F7">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3114043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4A09C550">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67FEDAD1">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027838B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0001AA2A">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03FD7E0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4D2671A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6EE8C1E5">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2B6917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3A0D9A7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1759710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56F2EB4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21EFB089">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（八）开标一览表</w:t>
      </w:r>
    </w:p>
    <w:p w14:paraId="2C4B62F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2C3FB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7ED0C5B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10A4BA29">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4103F66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282B69C5">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20F31C09">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2636DA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7AA564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42E57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09DC17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1A994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22681A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B188FA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F91C3F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3BBD3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09090D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84FC50">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2E8896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AE9EA0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CFAD0A3">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876EA6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E33DD6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23787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4A78303">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C36583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2F192B0">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E0D379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0CEAB03">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A45C0C2">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40570D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8C19ED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158BFCEE">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31B48D06">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3E23FD6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409203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2026年度医疗责任保险服务</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HNTJRY-TJ2026-004</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332383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04F1898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4DFCDEE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2026年度医疗责任保险服务采购项目</w:t>
      </w:r>
    </w:p>
    <w:p w14:paraId="5BFB563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3、采购预算金额：60万元</w:t>
      </w:r>
      <w:r>
        <w:rPr>
          <w:rFonts w:hint="eastAsia" w:ascii="方正仿宋_GB2312" w:hAnsi="方正仿宋_GB2312" w:eastAsia="方正仿宋_GB2312" w:cs="方正仿宋_GB2312"/>
          <w:color w:val="auto"/>
          <w:sz w:val="28"/>
          <w:szCs w:val="28"/>
          <w:highlight w:val="none"/>
        </w:rPr>
        <w:t>（注：</w:t>
      </w:r>
      <w:r>
        <w:rPr>
          <w:rFonts w:hint="eastAsia" w:ascii="方正仿宋_GB2312" w:hAnsi="方正仿宋_GB2312" w:eastAsia="方正仿宋_GB2312" w:cs="方正仿宋_GB2312"/>
          <w:color w:val="auto"/>
          <w:sz w:val="28"/>
          <w:szCs w:val="28"/>
          <w:highlight w:val="none"/>
          <w:lang w:val="en-US" w:eastAsia="zh-CN"/>
        </w:rPr>
        <w:t>采购预算金额包含但不限于人工费、差旅费、管理费、税费、保险费等本项目相关的所有费用，采购人不另行支付其他任何费用。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1438BC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HNTJRY-TJ2026-004</w:t>
      </w:r>
    </w:p>
    <w:p w14:paraId="7717A01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9268"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0"/>
        <w:gridCol w:w="532"/>
        <w:gridCol w:w="533"/>
        <w:gridCol w:w="3323"/>
        <w:gridCol w:w="2900"/>
      </w:tblGrid>
      <w:tr w14:paraId="6F10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35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0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85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6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服务要求</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2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795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0D4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2026年度医疗责任保险服务采购项目</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87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66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年</w:t>
            </w:r>
          </w:p>
        </w:tc>
        <w:tc>
          <w:tcPr>
            <w:tcW w:w="3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ED5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建立和完善医院医疗执业的风险转移机制，提高患者、医疗机构及医务人员防御风险能力。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ED4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bookmarkStart w:id="4" w:name="OLE_LINK1"/>
            <w:r>
              <w:rPr>
                <w:rFonts w:hint="eastAsia" w:asciiTheme="majorEastAsia" w:hAnsiTheme="majorEastAsia" w:eastAsiaTheme="majorEastAsia" w:cstheme="majorEastAsia"/>
                <w:color w:val="auto"/>
                <w:kern w:val="0"/>
                <w:szCs w:val="21"/>
                <w:lang w:val="en-US" w:eastAsia="zh-CN"/>
              </w:rPr>
              <w:t>2025年医务人员数量约1132人、住院床位数约910个、年手术台次约8208人次。</w:t>
            </w:r>
            <w:bookmarkEnd w:id="4"/>
          </w:p>
        </w:tc>
      </w:tr>
    </w:tbl>
    <w:p w14:paraId="1862AA8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1CA31D3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6C4EDAF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5A3BC3CF">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4EFB150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ECE8B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264AF66F">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58F2E90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266D4A6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b w:val="0"/>
          <w:color w:val="auto"/>
          <w:kern w:val="2"/>
          <w:sz w:val="28"/>
          <w:szCs w:val="28"/>
          <w:u w:val="single"/>
          <w:lang w:val="en-US" w:eastAsia="zh-CN" w:bidi="ar-SA"/>
        </w:rPr>
      </w:pPr>
      <w:r>
        <w:rPr>
          <w:rFonts w:hint="eastAsia" w:ascii="方正仿宋_GB2312" w:hAnsi="方正仿宋_GB2312" w:eastAsia="方正仿宋_GB2312" w:cs="方正仿宋_GB2312"/>
          <w:color w:val="auto"/>
          <w:sz w:val="28"/>
          <w:szCs w:val="28"/>
          <w:lang w:val="en-US" w:eastAsia="zh-CN"/>
        </w:rPr>
        <w:t>2、供应商特定资格条件：</w:t>
      </w:r>
      <w:r>
        <w:rPr>
          <w:rFonts w:hint="eastAsia" w:ascii="方正仿宋_GB2312" w:hAnsi="方正仿宋_GB2312" w:eastAsia="方正仿宋_GB2312" w:cs="方正仿宋_GB2312"/>
          <w:color w:val="auto"/>
          <w:sz w:val="28"/>
          <w:szCs w:val="28"/>
          <w:u w:val="single"/>
          <w:lang w:val="en-US" w:eastAsia="zh-CN"/>
        </w:rPr>
        <w:t>无</w:t>
      </w:r>
    </w:p>
    <w:p w14:paraId="4BA89DC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6E344B82">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3C07A15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753DC32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21633AB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7A10CE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79DB9E28">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6354643E">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1802136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詹先生                </w:t>
      </w:r>
      <w:r>
        <w:rPr>
          <w:rFonts w:hint="eastAsia" w:ascii="方正仿宋_GB2312" w:hAnsi="方正仿宋_GB2312" w:eastAsia="方正仿宋_GB2312" w:cs="方正仿宋_GB2312"/>
          <w:color w:val="auto"/>
          <w:sz w:val="28"/>
          <w:szCs w:val="28"/>
        </w:rPr>
        <w:t>电    话：</w:t>
      </w:r>
      <w:r>
        <w:rPr>
          <w:rFonts w:hint="eastAsia" w:ascii="方正仿宋_GB2312" w:hAnsi="方正仿宋_GB2312" w:eastAsia="方正仿宋_GB2312" w:cs="方正仿宋_GB2312"/>
          <w:color w:val="auto"/>
          <w:sz w:val="28"/>
          <w:szCs w:val="28"/>
          <w:lang w:val="en-US" w:eastAsia="zh-CN"/>
        </w:rPr>
        <w:t>15197749100</w:t>
      </w:r>
    </w:p>
    <w:p w14:paraId="684F3C86">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6F676150">
      <w:pPr>
        <w:pageBreakBefore w:val="0"/>
        <w:kinsoku/>
        <w:overflowPunct/>
        <w:topLinePunct w:val="0"/>
        <w:bidi w:val="0"/>
        <w:spacing w:line="594" w:lineRule="exact"/>
        <w:jc w:val="left"/>
        <w:rPr>
          <w:rFonts w:hint="eastAsia" w:ascii="宋体" w:hAnsi="宋体"/>
          <w:color w:val="auto"/>
          <w:sz w:val="28"/>
          <w:szCs w:val="28"/>
        </w:rPr>
      </w:pPr>
    </w:p>
    <w:p w14:paraId="1F33E6C3">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7311C8CD">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222E8025">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2B6E8A52">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3C01EE1D">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2026年度医疗责任保险服务</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HNTJRY-TJ2026-004</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20DE8131">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585CFECE">
      <w:pPr>
        <w:pStyle w:val="11"/>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4A589998">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19楼1909评标室 </w:t>
      </w:r>
      <w:r>
        <w:rPr>
          <w:rFonts w:hint="eastAsia" w:ascii="方正仿宋_GB2312" w:hAnsi="方正仿宋_GB2312" w:eastAsia="方正仿宋_GB2312" w:cs="方正仿宋_GB2312"/>
          <w:color w:val="auto"/>
          <w:sz w:val="28"/>
          <w:szCs w:val="28"/>
          <w:u w:val="none"/>
          <w:lang w:val="en-US" w:eastAsia="zh-CN"/>
        </w:rPr>
        <w:t>。</w:t>
      </w:r>
    </w:p>
    <w:p w14:paraId="51070156">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5190B07B">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19楼1909评标室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4F21CAF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782B84FD">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6208916B">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36958B0B">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詹先生            </w:t>
      </w:r>
      <w:r>
        <w:rPr>
          <w:rFonts w:hint="eastAsia" w:ascii="方正仿宋_GB2312" w:hAnsi="方正仿宋_GB2312" w:eastAsia="方正仿宋_GB2312" w:cs="方正仿宋_GB2312"/>
          <w:color w:val="auto"/>
          <w:sz w:val="28"/>
          <w:szCs w:val="28"/>
        </w:rPr>
        <w:t>电    话：</w:t>
      </w:r>
      <w:r>
        <w:rPr>
          <w:rFonts w:hint="eastAsia" w:ascii="方正仿宋_GB2312" w:hAnsi="方正仿宋_GB2312" w:eastAsia="方正仿宋_GB2312" w:cs="方正仿宋_GB2312"/>
          <w:color w:val="auto"/>
          <w:sz w:val="28"/>
          <w:szCs w:val="28"/>
          <w:lang w:val="en-US" w:eastAsia="zh-CN"/>
        </w:rPr>
        <w:t>15197749100</w:t>
      </w:r>
    </w:p>
    <w:p w14:paraId="29964B9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42A37957">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4E97DB5B">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171E660A">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55D86BF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7375AEF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F47FE53">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717F690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CA684E0">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B6D36B5">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3F85DF38">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5AA0379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7FCDBEC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7A4CE37B">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74E03100">
      <w:pPr>
        <w:pStyle w:val="11"/>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5DFDA0DD">
      <w:pPr>
        <w:pStyle w:val="11"/>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2A7382D">
      <w:pPr>
        <w:pStyle w:val="11"/>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3576979E">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62B84E4B">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50F43684">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3880B41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BE402D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7D9F7AC3">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5" w:name="_Toc34758541"/>
      <w:r>
        <w:rPr>
          <w:rFonts w:hint="eastAsia" w:ascii="黑体" w:hAnsi="黑体" w:eastAsia="黑体" w:cs="黑体"/>
          <w:b w:val="0"/>
          <w:bCs w:val="0"/>
          <w:color w:val="auto"/>
          <w:sz w:val="36"/>
          <w:szCs w:val="36"/>
          <w:lang w:val="en-US" w:eastAsia="zh-CN"/>
        </w:rPr>
        <w:t>二、 比选须知前附表</w:t>
      </w:r>
      <w:bookmarkEnd w:id="5"/>
    </w:p>
    <w:p w14:paraId="3F2470B5">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6CB2D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4F617708">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B8E2C8C">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5337F463">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2508E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733C9C78">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3CFEB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11494EE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1FDAF11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63862CD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2312" w:hAnsi="方正仿宋_GB2312" w:eastAsia="方正仿宋_GB2312" w:cs="方正仿宋_GB2312"/>
                <w:color w:val="auto"/>
                <w:sz w:val="28"/>
                <w:szCs w:val="28"/>
                <w:u w:val="none"/>
                <w:lang w:val="zh-CN"/>
              </w:rPr>
            </w:pPr>
            <w:r>
              <w:rPr>
                <w:rFonts w:hint="eastAsia" w:ascii="方正仿宋_GB2312" w:hAnsi="方正仿宋_GB2312" w:eastAsia="方正仿宋_GB2312" w:cs="方正仿宋_GB2312"/>
                <w:color w:val="auto"/>
                <w:sz w:val="28"/>
                <w:szCs w:val="28"/>
                <w:u w:val="none"/>
                <w:lang w:val="zh-CN"/>
              </w:rPr>
              <w:t>桃江县人民医院</w:t>
            </w:r>
          </w:p>
          <w:p w14:paraId="6708CB9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2026年度医疗责任保险服务采购项目</w:t>
            </w:r>
          </w:p>
        </w:tc>
      </w:tr>
      <w:tr w14:paraId="30A1E7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16296A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3073082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29564586">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7278B1D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14CA81AD">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7621B00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p w14:paraId="1960EA78">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 xml:space="preserve">詹先生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15197749100</w:t>
            </w:r>
          </w:p>
        </w:tc>
      </w:tr>
      <w:tr w14:paraId="4D505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1FD15B">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0D2680B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55243C23">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247963C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44C3079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BAD65C7">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6FFCBC8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635C0B55">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30CB8057">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14D1DCE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2、特定资格条件：</w:t>
            </w:r>
            <w:r>
              <w:rPr>
                <w:rFonts w:hint="eastAsia" w:ascii="方正仿宋_GB2312" w:hAnsi="方正仿宋_GB2312" w:eastAsia="方正仿宋_GB2312" w:cs="方正仿宋_GB2312"/>
                <w:color w:val="auto"/>
                <w:sz w:val="28"/>
                <w:szCs w:val="28"/>
                <w:highlight w:val="none"/>
                <w:u w:val="single"/>
                <w:lang w:val="en-US" w:eastAsia="zh-CN"/>
              </w:rPr>
              <w:t>无</w:t>
            </w:r>
          </w:p>
          <w:p w14:paraId="2ABF7F98">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563B3072">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54338BB7">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190F6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7011B55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40A9676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62D8409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0215B83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1053DB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ED71F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3366B11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25E12F5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0C82760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 地点：/联系人：/ ，</w:t>
            </w:r>
          </w:p>
          <w:p w14:paraId="7B08DF0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69B83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1A5FA090">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41060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1ACD0B9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7D1476DB">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3972AD9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 xml:space="preserve"> / </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5609CE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483131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1779D16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3ADCC183">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00B2453F">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0A303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696170E1">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620A0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623A6D1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6A1A65A8">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7DEE4F4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采购预算金额：60万元（</w:t>
            </w:r>
            <w:r>
              <w:rPr>
                <w:rFonts w:hint="eastAsia" w:ascii="方正仿宋_GB2312" w:hAnsi="方正仿宋_GB2312" w:eastAsia="方正仿宋_GB2312" w:cs="方正仿宋_GB2312"/>
                <w:color w:val="auto"/>
                <w:sz w:val="28"/>
                <w:szCs w:val="28"/>
                <w:highlight w:val="none"/>
              </w:rPr>
              <w:t>注：</w:t>
            </w:r>
            <w:r>
              <w:rPr>
                <w:rFonts w:hint="eastAsia" w:ascii="方正仿宋_GB2312" w:hAnsi="方正仿宋_GB2312" w:eastAsia="方正仿宋_GB2312" w:cs="方正仿宋_GB2312"/>
                <w:color w:val="auto"/>
                <w:sz w:val="28"/>
                <w:szCs w:val="28"/>
                <w:highlight w:val="none"/>
                <w:lang w:val="en-US" w:eastAsia="zh-CN"/>
              </w:rPr>
              <w:t>采购预算金额包含但不限于人工费、差旅费、管理费、税费、保险费等本项目相关的所有费用，采购人不另行支付其他任何费用。）</w:t>
            </w:r>
          </w:p>
        </w:tc>
      </w:tr>
      <w:tr w14:paraId="3C3CA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992F09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4EF4A65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8230F88">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6"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6"/>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2E7ECA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63829F2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3981F47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37BAD6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1、投标文件中开标一览表内容与投标文件中相应内容不一致的，以开标一览表为准； </w:t>
            </w:r>
          </w:p>
          <w:p w14:paraId="5A2AC38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2、大写金额和小写金额不一致的，以大写金额为准； </w:t>
            </w:r>
          </w:p>
          <w:p w14:paraId="4F4B466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3、单价金额小数点或者百分比有明显错位的，以开标一览表的总价为准，并修改单价； </w:t>
            </w:r>
          </w:p>
          <w:p w14:paraId="38560BD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4、总价金额与按单价汇总金额不一致的，以单价金额计算结果为准。 </w:t>
            </w:r>
          </w:p>
          <w:p w14:paraId="27F299F0">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CCCE3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49AB5AB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565F861D">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78C7502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2C06BFB1">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54DF6AC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1615A55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47E3EA30">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246E558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1B25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5F7DB6C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528C39D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46F4DFEE">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1A442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0D5B133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6F196E1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6F6519E9">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BA68579">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28FFE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498D23A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3B66055B">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09F08B7B">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323EE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47C3482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61BAD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34964E0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237DFDC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3545F3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19楼1909评标室</w:t>
            </w:r>
          </w:p>
        </w:tc>
      </w:tr>
      <w:tr w14:paraId="7743A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0C9C998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01FD3B0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3E368D82">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1、开标一览表、分项报价表除响应文件内容制作，还需另外单独密封递交1份。</w:t>
            </w:r>
          </w:p>
          <w:p w14:paraId="3F83A2B8">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2、除规定要求的签字（签章）、盖章外，需逐页加盖投标供应商公章及规范有效的骑缝章。</w:t>
            </w:r>
          </w:p>
        </w:tc>
      </w:tr>
      <w:tr w14:paraId="1061A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69FA4DA1">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42727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78842A6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7B0B287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361F5873">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4BB1E42">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0515BB2E">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6C9F57C6">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BAB73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4AAC3F2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12D4BAFA">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AACBA84">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136C9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04BC79C3">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5022B81E">
            <w:pPr>
              <w:pageBreakBefore w:val="0"/>
              <w:kinsoku/>
              <w:overflowPunct/>
              <w:topLinePunct w:val="0"/>
              <w:bidi w:val="0"/>
              <w:adjustRightInd w:val="0"/>
              <w:snapToGrid w:val="0"/>
              <w:spacing w:line="594" w:lineRule="exact"/>
              <w:ind w:firstLine="1120" w:firstLineChars="400"/>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sz w:val="28"/>
                <w:szCs w:val="28"/>
                <w:lang w:val="en-US" w:eastAsia="zh-CN"/>
              </w:rPr>
              <w:t xml:space="preserve">詹先生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15197749100</w:t>
            </w:r>
          </w:p>
          <w:p w14:paraId="6CA79718">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16C866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57144A93">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2757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4B86EF0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44947C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41129697">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76DD0B0">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58124B3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33C61A5A">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FF000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p>
          <w:p w14:paraId="36BB9F40">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缴纳方式：保函、现金或银行转账。</w:t>
            </w:r>
          </w:p>
          <w:p w14:paraId="32218C6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服务到期后退还</w:t>
            </w:r>
          </w:p>
        </w:tc>
      </w:tr>
    </w:tbl>
    <w:p w14:paraId="0ECC9C44">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69283105">
      <w:pPr>
        <w:pageBreakBefore w:val="0"/>
        <w:kinsoku/>
        <w:overflowPunct/>
        <w:topLinePunct w:val="0"/>
        <w:bidi w:val="0"/>
        <w:spacing w:line="594" w:lineRule="exact"/>
        <w:jc w:val="center"/>
        <w:outlineLvl w:val="1"/>
        <w:rPr>
          <w:rFonts w:hint="eastAsia" w:ascii="宋体" w:hAnsi="宋体"/>
          <w:b/>
          <w:color w:val="auto"/>
          <w:sz w:val="28"/>
          <w:szCs w:val="28"/>
        </w:rPr>
      </w:pPr>
    </w:p>
    <w:p w14:paraId="2D0438D7">
      <w:pPr>
        <w:pStyle w:val="7"/>
        <w:rPr>
          <w:rFonts w:hint="eastAsia" w:ascii="宋体" w:hAnsi="宋体"/>
          <w:b/>
          <w:color w:val="auto"/>
          <w:sz w:val="28"/>
          <w:szCs w:val="28"/>
        </w:rPr>
      </w:pPr>
    </w:p>
    <w:p w14:paraId="3BF9EDC2">
      <w:pPr>
        <w:rPr>
          <w:rFonts w:hint="eastAsia" w:ascii="宋体" w:hAnsi="宋体"/>
          <w:b/>
          <w:color w:val="auto"/>
          <w:sz w:val="28"/>
          <w:szCs w:val="28"/>
        </w:rPr>
      </w:pPr>
    </w:p>
    <w:p w14:paraId="3334AFE3">
      <w:pPr>
        <w:pStyle w:val="7"/>
        <w:rPr>
          <w:rFonts w:hint="eastAsia" w:ascii="宋体" w:hAnsi="宋体"/>
          <w:b/>
          <w:color w:val="auto"/>
          <w:sz w:val="28"/>
          <w:szCs w:val="28"/>
        </w:rPr>
      </w:pPr>
    </w:p>
    <w:p w14:paraId="31532D94">
      <w:pPr>
        <w:rPr>
          <w:rFonts w:hint="eastAsia" w:ascii="宋体" w:hAnsi="宋体"/>
          <w:b/>
          <w:color w:val="auto"/>
          <w:sz w:val="28"/>
          <w:szCs w:val="28"/>
        </w:rPr>
      </w:pPr>
    </w:p>
    <w:p w14:paraId="41230E58">
      <w:pPr>
        <w:pStyle w:val="7"/>
        <w:rPr>
          <w:rFonts w:hint="eastAsia" w:ascii="宋体" w:hAnsi="宋体"/>
          <w:b/>
          <w:color w:val="auto"/>
          <w:sz w:val="28"/>
          <w:szCs w:val="28"/>
        </w:rPr>
      </w:pPr>
    </w:p>
    <w:p w14:paraId="25B77B8F">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7E14102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145A6F92">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7" w:name="_Toc396919493"/>
      <w:bookmarkEnd w:id="7"/>
      <w:r>
        <w:rPr>
          <w:rFonts w:hint="eastAsia" w:ascii="黑体" w:hAnsi="黑体" w:eastAsia="黑体" w:cs="黑体"/>
          <w:b w:val="0"/>
          <w:bCs/>
          <w:color w:val="auto"/>
          <w:kern w:val="2"/>
          <w:sz w:val="32"/>
          <w:szCs w:val="32"/>
          <w:lang w:val="en-US" w:eastAsia="zh-CN" w:bidi="ar-SA"/>
        </w:rPr>
        <w:t>一、项目名称及采购预算</w:t>
      </w:r>
    </w:p>
    <w:p w14:paraId="6605274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2026年度医疗责任保险服务采购项目</w:t>
      </w:r>
    </w:p>
    <w:p w14:paraId="0DB2376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60万元</w:t>
      </w:r>
      <w:r>
        <w:rPr>
          <w:rFonts w:hint="eastAsia" w:ascii="方正仿宋_GB2312" w:hAnsi="方正仿宋_GB2312" w:eastAsia="方正仿宋_GB2312" w:cs="方正仿宋_GB2312"/>
          <w:color w:val="auto"/>
          <w:sz w:val="28"/>
          <w:szCs w:val="28"/>
          <w:highlight w:val="none"/>
        </w:rPr>
        <w:t>（注：</w:t>
      </w:r>
      <w:r>
        <w:rPr>
          <w:rFonts w:hint="eastAsia" w:ascii="方正仿宋_GB2312" w:hAnsi="方正仿宋_GB2312" w:eastAsia="方正仿宋_GB2312" w:cs="方正仿宋_GB2312"/>
          <w:color w:val="auto"/>
          <w:sz w:val="28"/>
          <w:szCs w:val="28"/>
          <w:highlight w:val="none"/>
          <w:lang w:val="en-US" w:eastAsia="zh-CN"/>
        </w:rPr>
        <w:t>采购预算金额包含但不限于人工费、差旅费、管理费、税费、保险费等本项目相关的所有费用，采购人不另行支付其他任何费用。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7CB317AE">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0"/>
        <w:gridCol w:w="669"/>
        <w:gridCol w:w="713"/>
        <w:gridCol w:w="3118"/>
        <w:gridCol w:w="2475"/>
      </w:tblGrid>
      <w:tr w14:paraId="7BBA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5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3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F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D36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服务要求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4D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1E0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A04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2026年度医疗责任保险服务采购项目</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B9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年</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D0D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建立和完善医院医疗执业的风险转移机制，提高患者、医疗机构及医务人员防御风险能力。</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D91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2025年医务人员数量约1132人、住院床位数约910个、年手术台次约8208人次。</w:t>
            </w:r>
          </w:p>
        </w:tc>
      </w:tr>
    </w:tbl>
    <w:p w14:paraId="357BD218">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三、技术</w:t>
      </w:r>
      <w:r>
        <w:rPr>
          <w:rFonts w:hint="eastAsia" w:ascii="Times New Roman" w:hAnsi="Times New Roman" w:eastAsia="仿宋_GB2312" w:cs="Times New Roman"/>
          <w:b/>
          <w:bCs/>
          <w:color w:val="auto"/>
          <w:kern w:val="0"/>
          <w:sz w:val="32"/>
          <w:szCs w:val="32"/>
          <w:lang w:val="en-US" w:eastAsia="zh-CN"/>
        </w:rPr>
        <w:t>服务要求</w:t>
      </w:r>
    </w:p>
    <w:p w14:paraId="33AF8986">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bookmarkStart w:id="8" w:name="_Toc7665"/>
      <w:r>
        <w:rPr>
          <w:rFonts w:hint="eastAsia" w:ascii="仿宋_GB2312" w:hAnsi="仿宋_GB2312" w:eastAsia="仿宋_GB2312" w:cs="仿宋_GB2312"/>
          <w:b w:val="0"/>
          <w:bCs w:val="0"/>
          <w:color w:val="auto"/>
          <w:kern w:val="0"/>
          <w:sz w:val="32"/>
          <w:szCs w:val="32"/>
          <w:lang w:val="en-US" w:eastAsia="zh-CN" w:bidi="ar-SA"/>
        </w:rPr>
        <w:t>1、保险责任范围</w:t>
      </w:r>
      <w:bookmarkEnd w:id="8"/>
    </w:p>
    <w:p w14:paraId="151256F0">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在保险期限或追溯期及承保区域范围内，被保险人的投保医务人员在诊疗护理活动中，因执业过失造成患者人身损害，在保险期限内，由患者或其近亲属首次向被保险人提出索赔申请，依法应由被保险人承担民事赔偿责任时，保险人根据保险合同的约定负责赔偿。</w:t>
      </w:r>
    </w:p>
    <w:p w14:paraId="2C9CD0F5">
      <w:pPr>
        <w:keepNext w:val="0"/>
        <w:keepLines w:val="0"/>
        <w:pageBreakBefore w:val="0"/>
        <w:widowControl/>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2、赔偿标准</w:t>
      </w:r>
    </w:p>
    <w:p w14:paraId="6F1AEED7">
      <w:pPr>
        <w:keepNext w:val="0"/>
        <w:keepLines w:val="0"/>
        <w:pageBreakBefore w:val="0"/>
        <w:widowControl/>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年度累计赔偿限额人民币200万元（大写：人民币贰佰万元）；每次事故每人赔偿限额人民币20万元（大写：人民币贰拾万元）；法律费用赔偿限额每次事故赔偿限额1万元（大写：人民币壹万元），年累计赔偿限额8万元（大写：人民币捌万元）。</w:t>
      </w:r>
    </w:p>
    <w:p w14:paraId="5507720F">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快速理赔服务：凡责任明确、损失查清、单证齐全有效，双方达成赔款协议、调解书、在资料齐全的情况下，损失在5万元以下的赔案从接收资料之日起，在15个工作日内赔付到位，5万以上的赔案从接收资料之日起，30个工作日内赔付到位。</w:t>
      </w:r>
    </w:p>
    <w:p w14:paraId="1092963A">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bookmarkStart w:id="9" w:name="_Toc6137"/>
      <w:r>
        <w:rPr>
          <w:rFonts w:hint="eastAsia" w:ascii="仿宋_GB2312" w:hAnsi="仿宋_GB2312" w:eastAsia="仿宋_GB2312" w:cs="仿宋_GB2312"/>
          <w:b w:val="0"/>
          <w:bCs w:val="0"/>
          <w:color w:val="auto"/>
          <w:kern w:val="0"/>
          <w:sz w:val="32"/>
          <w:szCs w:val="32"/>
          <w:lang w:val="en-US" w:eastAsia="zh-CN" w:bidi="ar-SA"/>
        </w:rPr>
        <w:t>4、案件处理：中标人需指定专员负责与医院进行沟通联系，且发生纠纷后，专员在接到采购人电话应协助案件处理(含法定节假日及下班时间)，并向公司报备及报案。</w:t>
      </w:r>
    </w:p>
    <w:p w14:paraId="0DFB98D4">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5、追溯时效</w:t>
      </w:r>
      <w:bookmarkEnd w:id="9"/>
    </w:p>
    <w:p w14:paraId="0C0BFDF0">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（1）在保险单列明的保险期间或追溯期内发生的事故，由患者或其近亲属首次向被保险人提出索赔申请，依法应由被保险人承担民事赔偿责任时，中标单位按照保险合同的约定负责赔偿。</w:t>
      </w:r>
    </w:p>
    <w:p w14:paraId="19DFE759">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（2）追溯期是指从保险期间开始之时起向前追溯的约定的期间，本项目保险最高追溯期为3年。</w:t>
      </w:r>
    </w:p>
    <w:p w14:paraId="128FA800">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6、提供24小时电话保险热线服务。全天24小时热线服务电话，随时可获得包括咨询、险种介绍、投保索赔须知、预约投保以及出险报案等服务。</w:t>
      </w:r>
    </w:p>
    <w:p w14:paraId="57286AA2">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7、设立服务团队：中标人按照采购人要求组建服务团队，要求组建10人服务团队进行承保、理赔、费用审核、投诉、应急机制、服务热线，案件审核必须为医学专业人员。中标人须建立与采购人相对应的工作流程与管理制度，将案件情况按月向采购人汇报，接受采购人的监督管理。中标人需明确一名项目负责人（项目联络员）全权负责本项目事务的工作接洽，项目负责人在本合同履约期间，无特殊情况不得更换。项目出现的问题，采购人首先与项目负责人（项目联络员）沟通协调。</w:t>
      </w:r>
    </w:p>
    <w:p w14:paraId="655F2AEC">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8、保险期内，中标人自负盈亏，不得以任何理由要求调整保险方案。</w:t>
      </w:r>
    </w:p>
    <w:p w14:paraId="4EA9FD0F">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9、保险期内，中标人不遵守采购文件、投标响应文件和合同内容的规定，有严重的违规行为，不接受采购人的监督管理，足以影响保费的安全以及医院正常工作开展的，采购人可立即单方面中止方案的执行。</w:t>
      </w:r>
    </w:p>
    <w:p w14:paraId="5CCA74EF">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10、采购人、中标人及被保险人之间对履行合同发生争议时，由双方进行协商。协商无效的，可依法向采购人所在地的人民法院提起诉讼。</w:t>
      </w:r>
    </w:p>
    <w:p w14:paraId="0767FF5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bookmarkStart w:id="10" w:name="_Toc21036"/>
      <w:r>
        <w:rPr>
          <w:rFonts w:hint="eastAsia" w:ascii="黑体" w:hAnsi="黑体" w:eastAsia="黑体" w:cs="黑体"/>
          <w:b w:val="0"/>
          <w:bCs/>
          <w:color w:val="auto"/>
          <w:kern w:val="2"/>
          <w:sz w:val="32"/>
          <w:szCs w:val="32"/>
          <w:lang w:val="en-US" w:eastAsia="zh-CN" w:bidi="ar-SA"/>
        </w:rPr>
        <w:t>四、商务要求</w:t>
      </w:r>
      <w:bookmarkEnd w:id="10"/>
    </w:p>
    <w:p w14:paraId="46B843A1">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1、服务期限：合同签订之日起1年</w:t>
      </w:r>
    </w:p>
    <w:p w14:paraId="58D32FE7">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2、服务地点：桃江县人民医院</w:t>
      </w:r>
    </w:p>
    <w:p w14:paraId="6997A655">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3、服务对象：桃江县人民医院医务人员</w:t>
      </w:r>
    </w:p>
    <w:p w14:paraId="0BF2AB24">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4、付款方式：签订合同后，中标人提供保险单、发票，采购人向中标人支付合同总额50%的保险费，6个月后支付剩余50%的保险费，不计利息。</w:t>
      </w:r>
    </w:p>
    <w:p w14:paraId="43C63838">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bookmarkStart w:id="11" w:name="_Toc10123"/>
      <w:r>
        <w:rPr>
          <w:rFonts w:hint="eastAsia" w:ascii="黑体" w:hAnsi="黑体" w:eastAsia="黑体" w:cs="黑体"/>
          <w:b w:val="0"/>
          <w:bCs/>
          <w:color w:val="auto"/>
          <w:kern w:val="2"/>
          <w:sz w:val="32"/>
          <w:szCs w:val="32"/>
          <w:lang w:val="en-US" w:eastAsia="zh-CN" w:bidi="ar-SA"/>
        </w:rPr>
        <w:t>五、其他</w:t>
      </w:r>
      <w:bookmarkEnd w:id="11"/>
    </w:p>
    <w:p w14:paraId="02D69BBB">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1.服务履行期间，中标人的服务条件、服务内容、法定代表人等发生变化时应及时通知采购人。</w:t>
      </w:r>
    </w:p>
    <w:p w14:paraId="1DD5B5E4">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2.双方应建立沟通协调机制，每季度至少召开一次双方相关人员参加的联系会，共同协商处理经办服务过程中发生的各种问题。</w:t>
      </w:r>
    </w:p>
    <w:p w14:paraId="0A3D8DD7">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bookmarkStart w:id="12" w:name="_Toc4214"/>
      <w:r>
        <w:rPr>
          <w:rFonts w:hint="eastAsia" w:ascii="仿宋_GB2312" w:hAnsi="仿宋_GB2312" w:eastAsia="仿宋_GB2312" w:cs="仿宋_GB2312"/>
          <w:b w:val="0"/>
          <w:bCs w:val="0"/>
          <w:color w:val="auto"/>
          <w:kern w:val="0"/>
          <w:sz w:val="32"/>
          <w:szCs w:val="32"/>
          <w:lang w:val="en-US" w:eastAsia="zh-CN" w:bidi="ar-SA"/>
        </w:rPr>
        <w:t>3.采购人的权利和义务：</w:t>
      </w:r>
      <w:bookmarkEnd w:id="12"/>
    </w:p>
    <w:p w14:paraId="76A40273">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（1）采购人负责监督检查中标人经办服务质量。</w:t>
      </w:r>
    </w:p>
    <w:p w14:paraId="3E0316AE">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（2）采购人有权监督、检查保险的补偿情况，有权对中标人的相关资料进行随机抽查，中标人应积极配合并如实提供相关资料，不得出现拖延赔付等行为。</w:t>
      </w:r>
    </w:p>
    <w:p w14:paraId="6FE07D42">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采购人配合中标人及时收集下列单证材料：①相关责任人的执业资格证件；②患者的入院记录、出院记录、相关手术记录；③患者死亡的，需提供死亡记录及医学死亡证明；④患者的医疗费用总清单、发票；⑤医疗事故鉴定报告或医疗事故责任认定书（若有）；⑥经法院、仲裁机构依法判决、裁决或卫生行政部门、医调委调解、和解或者采购人与患方直接达成赔偿，应当提供裁判文书、调解书、和解书或者赔偿协议；</w:t>
      </w:r>
    </w:p>
    <w:p w14:paraId="1A056194">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4、对于采购人提供的相关资料及本身收集及经办管理过程中产生的资料，中标人有义务保密，不得向第三方转让或泄露，否则，采购人有权对因此造成的损失追究其法律责任；</w:t>
      </w:r>
    </w:p>
    <w:p w14:paraId="755D20C6">
      <w:pPr>
        <w:keepNext w:val="0"/>
        <w:keepLines w:val="0"/>
        <w:pageBreakBefore w:val="0"/>
        <w:widowControl/>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bookmarkStart w:id="13" w:name="_Toc31698"/>
      <w:r>
        <w:rPr>
          <w:rFonts w:hint="eastAsia" w:ascii="仿宋_GB2312" w:hAnsi="仿宋_GB2312" w:eastAsia="仿宋_GB2312" w:cs="仿宋_GB2312"/>
          <w:b w:val="0"/>
          <w:bCs w:val="0"/>
          <w:color w:val="auto"/>
          <w:kern w:val="0"/>
          <w:sz w:val="32"/>
          <w:szCs w:val="32"/>
          <w:lang w:val="en-US" w:eastAsia="zh-CN" w:bidi="ar-SA"/>
        </w:rPr>
        <w:t>5、</w:t>
      </w:r>
      <w:bookmarkEnd w:id="13"/>
      <w:r>
        <w:rPr>
          <w:rFonts w:hint="eastAsia" w:ascii="仿宋_GB2312" w:hAnsi="仿宋_GB2312" w:eastAsia="仿宋_GB2312" w:cs="仿宋_GB2312"/>
          <w:color w:val="auto"/>
          <w:kern w:val="0"/>
          <w:sz w:val="32"/>
          <w:szCs w:val="32"/>
          <w:highlight w:val="none"/>
          <w:lang w:val="en-US" w:eastAsia="zh-CN"/>
        </w:rPr>
        <w:t>其他未尽事宜，由采购人与中标人于合同中另行协商约定。</w:t>
      </w:r>
    </w:p>
    <w:p w14:paraId="727A2164">
      <w:pPr>
        <w:keepNext w:val="0"/>
        <w:keepLines w:val="0"/>
        <w:pageBreakBefore w:val="0"/>
        <w:kinsoku/>
        <w:wordWrap/>
        <w:overflowPunct/>
        <w:topLinePunct w:val="0"/>
        <w:autoSpaceDE/>
        <w:autoSpaceDN/>
        <w:bidi w:val="0"/>
        <w:adjustRightInd/>
        <w:snapToGrid/>
        <w:spacing w:line="574" w:lineRule="exact"/>
        <w:ind w:firstLine="643" w:firstLineChars="200"/>
        <w:jc w:val="both"/>
        <w:textAlignment w:val="auto"/>
        <w:rPr>
          <w:rFonts w:hint="eastAsia" w:ascii="宋体" w:hAnsi="宋体"/>
          <w:b/>
          <w:bCs/>
          <w:color w:val="auto"/>
          <w:sz w:val="36"/>
          <w:szCs w:val="36"/>
        </w:rPr>
      </w:pPr>
      <w:r>
        <w:rPr>
          <w:rFonts w:hint="eastAsia" w:ascii="方正楷体_GB2312" w:hAnsi="方正楷体_GB2312" w:eastAsia="方正楷体_GB2312" w:cs="方正楷体_GB2312"/>
          <w:b/>
          <w:bCs/>
          <w:color w:val="auto"/>
          <w:kern w:val="2"/>
          <w:sz w:val="32"/>
          <w:szCs w:val="32"/>
          <w:lang w:val="en-US" w:eastAsia="zh-CN" w:bidi="ar-SA"/>
        </w:rPr>
        <w:t>对于上述要求，投标人应在投标文件中进行逐条回应。除比选文件另有规定外，若出现有关法律法规有强制性规定但比选文件未列明的情形，则投标人应按照有关法律法规强制性执行。</w:t>
      </w:r>
    </w:p>
    <w:p w14:paraId="16FE798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285F76F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25E958C">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6"/>
      <w:bookmarkEnd w:id="14"/>
      <w:r>
        <w:rPr>
          <w:rFonts w:hint="eastAsia" w:ascii="方正仿宋_GB2312" w:hAnsi="方正仿宋_GB2312" w:eastAsia="方正仿宋_GB2312" w:cs="方正仿宋_GB2312"/>
          <w:b/>
          <w:bCs/>
          <w:color w:val="auto"/>
          <w:kern w:val="0"/>
          <w:sz w:val="32"/>
          <w:szCs w:val="32"/>
          <w:lang w:val="en-US" w:eastAsia="zh-CN" w:bidi="ar-SA"/>
        </w:rPr>
        <w:t>一、评标方法</w:t>
      </w:r>
    </w:p>
    <w:p w14:paraId="49BE3D5E">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100F25C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196D541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49398F16">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E894A3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682F236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6B893CD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5"/>
        <w:gridCol w:w="4350"/>
        <w:gridCol w:w="3120"/>
      </w:tblGrid>
      <w:tr w14:paraId="5BD5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12CC4CC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4C27F50A">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58FF97A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4441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810" w:type="dxa"/>
            <w:vMerge w:val="restart"/>
            <w:tcBorders>
              <w:top w:val="nil"/>
              <w:left w:val="single" w:color="auto" w:sz="4" w:space="0"/>
              <w:bottom w:val="single" w:color="auto" w:sz="4" w:space="0"/>
              <w:right w:val="single" w:color="auto" w:sz="4" w:space="0"/>
            </w:tcBorders>
            <w:vAlign w:val="center"/>
          </w:tcPr>
          <w:p w14:paraId="72022483">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p>
        </w:tc>
        <w:tc>
          <w:tcPr>
            <w:tcW w:w="675" w:type="dxa"/>
            <w:vMerge w:val="restart"/>
            <w:tcBorders>
              <w:top w:val="nil"/>
              <w:left w:val="nil"/>
              <w:bottom w:val="single" w:color="auto" w:sz="4" w:space="0"/>
              <w:right w:val="single" w:color="auto" w:sz="4" w:space="0"/>
            </w:tcBorders>
            <w:vAlign w:val="center"/>
          </w:tcPr>
          <w:p w14:paraId="1DB386B4">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投标人应符合的基本资格条件</w:t>
            </w:r>
          </w:p>
        </w:tc>
        <w:tc>
          <w:tcPr>
            <w:tcW w:w="4350" w:type="dxa"/>
            <w:tcBorders>
              <w:top w:val="single" w:color="auto" w:sz="4" w:space="0"/>
              <w:left w:val="nil"/>
              <w:bottom w:val="single" w:color="auto" w:sz="4" w:space="0"/>
              <w:right w:val="single" w:color="auto" w:sz="4" w:space="0"/>
            </w:tcBorders>
            <w:vAlign w:val="center"/>
          </w:tcPr>
          <w:p w14:paraId="74FC41C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tc>
        <w:tc>
          <w:tcPr>
            <w:tcW w:w="3120" w:type="dxa"/>
            <w:tcBorders>
              <w:top w:val="single" w:color="auto" w:sz="4" w:space="0"/>
              <w:left w:val="nil"/>
              <w:bottom w:val="single" w:color="auto" w:sz="4" w:space="0"/>
              <w:right w:val="single" w:color="auto" w:sz="4" w:space="0"/>
            </w:tcBorders>
            <w:vAlign w:val="center"/>
          </w:tcPr>
          <w:p w14:paraId="6F97B3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投标人资质证书、营业执照（副本）、投标人法定代表人身份证明和法定代表人授权代表委托书；</w:t>
            </w:r>
          </w:p>
        </w:tc>
      </w:tr>
      <w:tr w14:paraId="170C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0" w:type="dxa"/>
            <w:vMerge w:val="continue"/>
            <w:tcBorders>
              <w:top w:val="nil"/>
              <w:left w:val="single" w:color="auto" w:sz="4" w:space="0"/>
              <w:bottom w:val="single" w:color="auto" w:sz="4" w:space="0"/>
              <w:right w:val="single" w:color="auto" w:sz="4" w:space="0"/>
            </w:tcBorders>
            <w:vAlign w:val="center"/>
          </w:tcPr>
          <w:p w14:paraId="5DFBD2F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675" w:type="dxa"/>
            <w:vMerge w:val="continue"/>
            <w:tcBorders>
              <w:top w:val="nil"/>
              <w:left w:val="nil"/>
              <w:bottom w:val="single" w:color="auto" w:sz="4" w:space="0"/>
              <w:right w:val="single" w:color="auto" w:sz="4" w:space="0"/>
            </w:tcBorders>
            <w:vAlign w:val="center"/>
          </w:tcPr>
          <w:p w14:paraId="11FC8E6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0" w:type="dxa"/>
            <w:tcBorders>
              <w:top w:val="single" w:color="auto" w:sz="4" w:space="0"/>
              <w:left w:val="nil"/>
              <w:bottom w:val="single" w:color="auto" w:sz="4" w:space="0"/>
              <w:right w:val="single" w:color="auto" w:sz="4" w:space="0"/>
            </w:tcBorders>
            <w:vAlign w:val="center"/>
          </w:tcPr>
          <w:p w14:paraId="188C15D6">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tc>
        <w:tc>
          <w:tcPr>
            <w:tcW w:w="3120" w:type="dxa"/>
            <w:vMerge w:val="restart"/>
            <w:tcBorders>
              <w:top w:val="single" w:color="auto" w:sz="4" w:space="0"/>
              <w:left w:val="nil"/>
              <w:bottom w:val="single" w:color="auto" w:sz="4" w:space="0"/>
              <w:right w:val="single" w:color="auto" w:sz="4" w:space="0"/>
            </w:tcBorders>
            <w:vAlign w:val="center"/>
          </w:tcPr>
          <w:p w14:paraId="7F1D0A2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投标人提供</w:t>
            </w:r>
            <w:r>
              <w:rPr>
                <w:rFonts w:hint="eastAsia" w:ascii="方正仿宋_GB2312" w:hAnsi="方正仿宋_GB2312" w:eastAsia="方正仿宋_GB2312" w:cs="方正仿宋_GB2312"/>
                <w:color w:val="auto"/>
                <w:sz w:val="28"/>
                <w:szCs w:val="28"/>
                <w:lang w:eastAsia="zh-CN"/>
              </w:rPr>
              <w:t>相关证明材料及</w:t>
            </w:r>
            <w:r>
              <w:rPr>
                <w:rFonts w:hint="eastAsia" w:ascii="方正仿宋_GB2312" w:hAnsi="方正仿宋_GB2312" w:eastAsia="方正仿宋_GB2312" w:cs="方正仿宋_GB2312"/>
                <w:color w:val="auto"/>
                <w:sz w:val="28"/>
                <w:szCs w:val="28"/>
              </w:rPr>
              <w:t>诚信声明</w:t>
            </w:r>
            <w:r>
              <w:rPr>
                <w:rFonts w:hint="eastAsia" w:ascii="方正仿宋_GB2312" w:hAnsi="方正仿宋_GB2312" w:eastAsia="方正仿宋_GB2312" w:cs="方正仿宋_GB2312"/>
                <w:color w:val="auto"/>
                <w:sz w:val="28"/>
                <w:szCs w:val="28"/>
                <w:lang w:eastAsia="zh-CN"/>
              </w:rPr>
              <w:t>等</w:t>
            </w:r>
          </w:p>
        </w:tc>
      </w:tr>
      <w:tr w14:paraId="3F2E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10" w:type="dxa"/>
            <w:vMerge w:val="continue"/>
            <w:tcBorders>
              <w:top w:val="nil"/>
              <w:left w:val="single" w:color="auto" w:sz="4" w:space="0"/>
              <w:bottom w:val="single" w:color="auto" w:sz="4" w:space="0"/>
              <w:right w:val="single" w:color="auto" w:sz="4" w:space="0"/>
            </w:tcBorders>
            <w:vAlign w:val="center"/>
          </w:tcPr>
          <w:p w14:paraId="32DAC58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675" w:type="dxa"/>
            <w:vMerge w:val="continue"/>
            <w:tcBorders>
              <w:top w:val="nil"/>
              <w:left w:val="nil"/>
              <w:bottom w:val="single" w:color="auto" w:sz="4" w:space="0"/>
              <w:right w:val="single" w:color="auto" w:sz="4" w:space="0"/>
            </w:tcBorders>
            <w:vAlign w:val="center"/>
          </w:tcPr>
          <w:p w14:paraId="54130C2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0" w:type="dxa"/>
            <w:tcBorders>
              <w:top w:val="single" w:color="auto" w:sz="4" w:space="0"/>
              <w:left w:val="nil"/>
              <w:bottom w:val="single" w:color="auto" w:sz="4" w:space="0"/>
              <w:right w:val="single" w:color="auto" w:sz="4" w:space="0"/>
            </w:tcBorders>
            <w:vAlign w:val="center"/>
          </w:tcPr>
          <w:p w14:paraId="5F4C42E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tc>
        <w:tc>
          <w:tcPr>
            <w:tcW w:w="3120" w:type="dxa"/>
            <w:vMerge w:val="continue"/>
            <w:tcBorders>
              <w:top w:val="nil"/>
              <w:left w:val="nil"/>
              <w:bottom w:val="single" w:color="auto" w:sz="4" w:space="0"/>
              <w:right w:val="single" w:color="auto" w:sz="4" w:space="0"/>
            </w:tcBorders>
            <w:vAlign w:val="center"/>
          </w:tcPr>
          <w:p w14:paraId="076E130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r>
      <w:tr w14:paraId="5F7E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1811E79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675" w:type="dxa"/>
            <w:vMerge w:val="continue"/>
            <w:tcBorders>
              <w:top w:val="nil"/>
              <w:left w:val="nil"/>
              <w:bottom w:val="single" w:color="auto" w:sz="4" w:space="0"/>
              <w:right w:val="single" w:color="auto" w:sz="4" w:space="0"/>
            </w:tcBorders>
            <w:vAlign w:val="center"/>
          </w:tcPr>
          <w:p w14:paraId="19F6719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0" w:type="dxa"/>
            <w:tcBorders>
              <w:top w:val="single" w:color="auto" w:sz="4" w:space="0"/>
              <w:left w:val="nil"/>
              <w:bottom w:val="single" w:color="auto" w:sz="4" w:space="0"/>
              <w:right w:val="single" w:color="auto" w:sz="4" w:space="0"/>
            </w:tcBorders>
            <w:vAlign w:val="center"/>
          </w:tcPr>
          <w:p w14:paraId="49DBD80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（4）有依法缴纳税收和社会保障金的良好记录</w:t>
            </w:r>
          </w:p>
        </w:tc>
        <w:tc>
          <w:tcPr>
            <w:tcW w:w="3120" w:type="dxa"/>
            <w:vMerge w:val="continue"/>
            <w:tcBorders>
              <w:top w:val="nil"/>
              <w:left w:val="nil"/>
              <w:bottom w:val="single" w:color="auto" w:sz="4" w:space="0"/>
              <w:right w:val="single" w:color="auto" w:sz="4" w:space="0"/>
            </w:tcBorders>
            <w:vAlign w:val="center"/>
          </w:tcPr>
          <w:p w14:paraId="0E677666">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r>
      <w:tr w14:paraId="77FD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0D8F88B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675" w:type="dxa"/>
            <w:vMerge w:val="continue"/>
            <w:tcBorders>
              <w:top w:val="nil"/>
              <w:left w:val="nil"/>
              <w:bottom w:val="single" w:color="auto" w:sz="4" w:space="0"/>
              <w:right w:val="single" w:color="auto" w:sz="4" w:space="0"/>
            </w:tcBorders>
            <w:vAlign w:val="center"/>
          </w:tcPr>
          <w:p w14:paraId="5A18C25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0" w:type="dxa"/>
            <w:tcBorders>
              <w:top w:val="single" w:color="auto" w:sz="4" w:space="0"/>
              <w:left w:val="nil"/>
              <w:bottom w:val="single" w:color="auto" w:sz="4" w:space="0"/>
              <w:right w:val="single" w:color="auto" w:sz="4" w:space="0"/>
            </w:tcBorders>
            <w:vAlign w:val="center"/>
          </w:tcPr>
          <w:p w14:paraId="0CBC65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（5）参加政府采购活动三年内，在经营活动中没有重大违法记录</w:t>
            </w:r>
          </w:p>
        </w:tc>
        <w:tc>
          <w:tcPr>
            <w:tcW w:w="3120" w:type="dxa"/>
            <w:vMerge w:val="continue"/>
            <w:tcBorders>
              <w:top w:val="nil"/>
              <w:left w:val="nil"/>
              <w:bottom w:val="single" w:color="auto" w:sz="4" w:space="0"/>
              <w:right w:val="single" w:color="auto" w:sz="4" w:space="0"/>
            </w:tcBorders>
            <w:vAlign w:val="center"/>
          </w:tcPr>
          <w:p w14:paraId="23FBA9C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r>
      <w:tr w14:paraId="0ADC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10" w:type="dxa"/>
            <w:vMerge w:val="continue"/>
            <w:tcBorders>
              <w:top w:val="nil"/>
              <w:left w:val="single" w:color="auto" w:sz="4" w:space="0"/>
              <w:bottom w:val="single" w:color="auto" w:sz="4" w:space="0"/>
              <w:right w:val="single" w:color="auto" w:sz="4" w:space="0"/>
            </w:tcBorders>
            <w:vAlign w:val="center"/>
          </w:tcPr>
          <w:p w14:paraId="711AF15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675" w:type="dxa"/>
            <w:vMerge w:val="continue"/>
            <w:tcBorders>
              <w:top w:val="nil"/>
              <w:left w:val="nil"/>
              <w:bottom w:val="single" w:color="auto" w:sz="4" w:space="0"/>
              <w:right w:val="single" w:color="auto" w:sz="4" w:space="0"/>
            </w:tcBorders>
            <w:vAlign w:val="center"/>
          </w:tcPr>
          <w:p w14:paraId="22ECA88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0" w:type="dxa"/>
            <w:tcBorders>
              <w:top w:val="single" w:color="auto" w:sz="4" w:space="0"/>
              <w:left w:val="nil"/>
              <w:bottom w:val="single" w:color="auto" w:sz="4" w:space="0"/>
              <w:right w:val="single" w:color="auto" w:sz="4" w:space="0"/>
            </w:tcBorders>
            <w:vAlign w:val="center"/>
          </w:tcPr>
          <w:p w14:paraId="38403E7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（6）所需特定资质条件</w:t>
            </w:r>
          </w:p>
        </w:tc>
        <w:tc>
          <w:tcPr>
            <w:tcW w:w="3120" w:type="dxa"/>
            <w:tcBorders>
              <w:top w:val="single" w:color="auto" w:sz="4" w:space="0"/>
              <w:left w:val="nil"/>
              <w:bottom w:val="single" w:color="auto" w:sz="4" w:space="0"/>
              <w:right w:val="single" w:color="auto" w:sz="4" w:space="0"/>
            </w:tcBorders>
            <w:vAlign w:val="center"/>
          </w:tcPr>
          <w:p w14:paraId="10E2DAC7">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证明材料的复印件（加盖公章）。</w:t>
            </w:r>
          </w:p>
        </w:tc>
      </w:tr>
      <w:tr w14:paraId="6027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7767A6C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p>
        </w:tc>
        <w:tc>
          <w:tcPr>
            <w:tcW w:w="5025" w:type="dxa"/>
            <w:gridSpan w:val="2"/>
            <w:tcBorders>
              <w:top w:val="single" w:color="auto" w:sz="4" w:space="0"/>
              <w:left w:val="nil"/>
              <w:bottom w:val="single" w:color="auto" w:sz="4" w:space="0"/>
              <w:right w:val="single" w:color="auto" w:sz="4" w:space="0"/>
            </w:tcBorders>
            <w:vAlign w:val="center"/>
          </w:tcPr>
          <w:p w14:paraId="331C1F6E">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投标保证金</w:t>
            </w:r>
          </w:p>
        </w:tc>
        <w:tc>
          <w:tcPr>
            <w:tcW w:w="3120" w:type="dxa"/>
            <w:tcBorders>
              <w:top w:val="single" w:color="auto" w:sz="4" w:space="0"/>
              <w:left w:val="nil"/>
              <w:bottom w:val="single" w:color="auto" w:sz="4" w:space="0"/>
              <w:right w:val="single" w:color="auto" w:sz="4" w:space="0"/>
            </w:tcBorders>
            <w:vAlign w:val="center"/>
          </w:tcPr>
          <w:p w14:paraId="29766584">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u w:val="none"/>
                <w:lang w:val="en-US" w:eastAsia="zh-CN"/>
              </w:rPr>
              <w:t>不收取</w:t>
            </w:r>
            <w:r>
              <w:rPr>
                <w:rFonts w:hint="eastAsia" w:ascii="方正仿宋_GB2312" w:hAnsi="方正仿宋_GB2312" w:eastAsia="方正仿宋_GB2312" w:cs="方正仿宋_GB2312"/>
                <w:color w:val="auto"/>
                <w:sz w:val="28"/>
                <w:szCs w:val="28"/>
                <w:lang w:val="en-US" w:eastAsia="zh-CN"/>
              </w:rPr>
              <w:t>投标保证金</w:t>
            </w:r>
          </w:p>
        </w:tc>
      </w:tr>
    </w:tbl>
    <w:p w14:paraId="497C19A4">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color w:val="auto"/>
          <w:kern w:val="0"/>
          <w:sz w:val="28"/>
          <w:szCs w:val="28"/>
        </w:rPr>
      </w:pPr>
      <w:r>
        <w:rPr>
          <w:rFonts w:hint="eastAsia" w:ascii="宋体" w:hAnsi="宋体"/>
          <w:color w:val="auto"/>
          <w:kern w:val="0"/>
          <w:sz w:val="28"/>
          <w:szCs w:val="28"/>
        </w:rPr>
        <w:t xml:space="preserve"> </w:t>
      </w: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4C8A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5" w:type="dxa"/>
            <w:tcBorders>
              <w:top w:val="single" w:color="auto" w:sz="4" w:space="0"/>
              <w:left w:val="single" w:color="auto" w:sz="4" w:space="0"/>
              <w:bottom w:val="single" w:color="auto" w:sz="4" w:space="0"/>
              <w:right w:val="single" w:color="auto" w:sz="4" w:space="0"/>
            </w:tcBorders>
            <w:vAlign w:val="center"/>
          </w:tcPr>
          <w:p w14:paraId="41F71153">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F3B5E9C">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5FCB247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031C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5" w:type="dxa"/>
            <w:vMerge w:val="restart"/>
            <w:tcBorders>
              <w:top w:val="nil"/>
              <w:left w:val="single" w:color="auto" w:sz="4" w:space="0"/>
              <w:bottom w:val="single" w:color="auto" w:sz="4" w:space="0"/>
              <w:right w:val="single" w:color="auto" w:sz="4" w:space="0"/>
            </w:tcBorders>
            <w:vAlign w:val="center"/>
          </w:tcPr>
          <w:p w14:paraId="71EDBA8E">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1</w:t>
            </w:r>
          </w:p>
        </w:tc>
        <w:tc>
          <w:tcPr>
            <w:tcW w:w="1065" w:type="dxa"/>
            <w:vMerge w:val="restart"/>
            <w:tcBorders>
              <w:top w:val="nil"/>
              <w:left w:val="nil"/>
              <w:bottom w:val="single" w:color="auto" w:sz="4" w:space="0"/>
              <w:right w:val="single" w:color="auto" w:sz="4" w:space="0"/>
            </w:tcBorders>
            <w:vAlign w:val="center"/>
          </w:tcPr>
          <w:p w14:paraId="24001F98">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有</w:t>
            </w:r>
          </w:p>
          <w:p w14:paraId="467883C5">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效</w:t>
            </w:r>
          </w:p>
          <w:p w14:paraId="10CE524E">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性</w:t>
            </w:r>
          </w:p>
          <w:p w14:paraId="78BE7CC4">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审</w:t>
            </w:r>
          </w:p>
          <w:p w14:paraId="624ACA14">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查</w:t>
            </w:r>
          </w:p>
        </w:tc>
        <w:tc>
          <w:tcPr>
            <w:tcW w:w="1830" w:type="dxa"/>
            <w:tcBorders>
              <w:top w:val="single" w:color="auto" w:sz="4" w:space="0"/>
              <w:left w:val="nil"/>
              <w:bottom w:val="single" w:color="auto" w:sz="4" w:space="0"/>
              <w:right w:val="single" w:color="auto" w:sz="4" w:space="0"/>
            </w:tcBorders>
            <w:vAlign w:val="center"/>
          </w:tcPr>
          <w:p w14:paraId="3D411782">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pacing w:val="0"/>
                <w:w w:val="100"/>
                <w:kern w:val="0"/>
                <w:sz w:val="28"/>
                <w:szCs w:val="28"/>
                <w:fitText w:val="1680" w:id="1765408819"/>
                <w:lang w:eastAsia="zh-CN"/>
              </w:rPr>
              <w:t>响应</w:t>
            </w:r>
            <w:r>
              <w:rPr>
                <w:rFonts w:hint="eastAsia" w:ascii="方正仿宋_GB2312" w:hAnsi="方正仿宋_GB2312" w:eastAsia="方正仿宋_GB2312" w:cs="方正仿宋_GB2312"/>
                <w:color w:val="auto"/>
                <w:spacing w:val="0"/>
                <w:w w:val="100"/>
                <w:kern w:val="0"/>
                <w:sz w:val="28"/>
                <w:szCs w:val="28"/>
                <w:fitText w:val="1680" w:id="1765408819"/>
              </w:rPr>
              <w:t>文件签署</w:t>
            </w:r>
          </w:p>
        </w:tc>
        <w:tc>
          <w:tcPr>
            <w:tcW w:w="5370" w:type="dxa"/>
            <w:tcBorders>
              <w:top w:val="single" w:color="auto" w:sz="4" w:space="0"/>
              <w:left w:val="nil"/>
              <w:bottom w:val="single" w:color="auto" w:sz="4" w:space="0"/>
              <w:right w:val="single" w:color="auto" w:sz="4" w:space="0"/>
            </w:tcBorders>
            <w:vAlign w:val="center"/>
          </w:tcPr>
          <w:p w14:paraId="4C160CB0">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eastAsia="zh-CN"/>
              </w:rPr>
              <w:t>响应</w:t>
            </w:r>
            <w:r>
              <w:rPr>
                <w:rFonts w:hint="eastAsia" w:ascii="方正仿宋_GB2312" w:hAnsi="方正仿宋_GB2312" w:eastAsia="方正仿宋_GB2312" w:cs="方正仿宋_GB2312"/>
                <w:color w:val="auto"/>
                <w:sz w:val="28"/>
                <w:szCs w:val="28"/>
              </w:rPr>
              <w:t>文件上法定代表人或其授权代表人的签字齐全。</w:t>
            </w:r>
          </w:p>
        </w:tc>
      </w:tr>
      <w:tr w14:paraId="342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05" w:type="dxa"/>
            <w:vMerge w:val="continue"/>
            <w:tcBorders>
              <w:top w:val="nil"/>
              <w:left w:val="single" w:color="auto" w:sz="4" w:space="0"/>
              <w:bottom w:val="single" w:color="auto" w:sz="4" w:space="0"/>
              <w:right w:val="single" w:color="auto" w:sz="4" w:space="0"/>
            </w:tcBorders>
            <w:vAlign w:val="center"/>
          </w:tcPr>
          <w:p w14:paraId="1906A23C">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065" w:type="dxa"/>
            <w:vMerge w:val="continue"/>
            <w:tcBorders>
              <w:top w:val="nil"/>
              <w:left w:val="nil"/>
              <w:bottom w:val="single" w:color="auto" w:sz="4" w:space="0"/>
              <w:right w:val="single" w:color="auto" w:sz="4" w:space="0"/>
            </w:tcBorders>
            <w:vAlign w:val="center"/>
          </w:tcPr>
          <w:p w14:paraId="5847E28D">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014C507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71BB0B88">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法定代表人身份证明及授权委托书有效，符合</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文件规定的格式且签章齐全。</w:t>
            </w:r>
          </w:p>
        </w:tc>
      </w:tr>
      <w:tr w14:paraId="175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5" w:type="dxa"/>
            <w:vMerge w:val="continue"/>
            <w:tcBorders>
              <w:top w:val="nil"/>
              <w:left w:val="single" w:color="auto" w:sz="4" w:space="0"/>
              <w:bottom w:val="single" w:color="auto" w:sz="4" w:space="0"/>
              <w:right w:val="single" w:color="auto" w:sz="4" w:space="0"/>
            </w:tcBorders>
            <w:vAlign w:val="center"/>
          </w:tcPr>
          <w:p w14:paraId="414E39B7">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065" w:type="dxa"/>
            <w:vMerge w:val="continue"/>
            <w:tcBorders>
              <w:top w:val="nil"/>
              <w:left w:val="nil"/>
              <w:bottom w:val="single" w:color="auto" w:sz="4" w:space="0"/>
              <w:right w:val="single" w:color="auto" w:sz="4" w:space="0"/>
            </w:tcBorders>
            <w:vAlign w:val="center"/>
          </w:tcPr>
          <w:p w14:paraId="78ED8011">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7858E5A6">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投标方案</w:t>
            </w:r>
          </w:p>
        </w:tc>
        <w:tc>
          <w:tcPr>
            <w:tcW w:w="5370" w:type="dxa"/>
            <w:tcBorders>
              <w:top w:val="single" w:color="auto" w:sz="4" w:space="0"/>
              <w:left w:val="nil"/>
              <w:bottom w:val="single" w:color="auto" w:sz="4" w:space="0"/>
              <w:right w:val="single" w:color="auto" w:sz="4" w:space="0"/>
            </w:tcBorders>
            <w:vAlign w:val="center"/>
          </w:tcPr>
          <w:p w14:paraId="57BBBEAD">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rPr>
              <w:t>只能有一个方案投标。</w:t>
            </w:r>
          </w:p>
        </w:tc>
      </w:tr>
      <w:tr w14:paraId="36B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5" w:type="dxa"/>
            <w:vMerge w:val="continue"/>
            <w:tcBorders>
              <w:top w:val="nil"/>
              <w:left w:val="single" w:color="auto" w:sz="4" w:space="0"/>
              <w:bottom w:val="single" w:color="auto" w:sz="4" w:space="0"/>
              <w:right w:val="single" w:color="auto" w:sz="4" w:space="0"/>
            </w:tcBorders>
            <w:vAlign w:val="center"/>
          </w:tcPr>
          <w:p w14:paraId="5C13F504">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065" w:type="dxa"/>
            <w:vMerge w:val="continue"/>
            <w:tcBorders>
              <w:top w:val="nil"/>
              <w:left w:val="nil"/>
              <w:bottom w:val="single" w:color="auto" w:sz="4" w:space="0"/>
              <w:right w:val="single" w:color="auto" w:sz="4" w:space="0"/>
            </w:tcBorders>
            <w:vAlign w:val="center"/>
          </w:tcPr>
          <w:p w14:paraId="3BE1FEEC">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5D15C040">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报价唯一</w:t>
            </w:r>
          </w:p>
        </w:tc>
        <w:tc>
          <w:tcPr>
            <w:tcW w:w="5370" w:type="dxa"/>
            <w:tcBorders>
              <w:top w:val="single" w:color="auto" w:sz="4" w:space="0"/>
              <w:left w:val="nil"/>
              <w:bottom w:val="single" w:color="auto" w:sz="4" w:space="0"/>
              <w:right w:val="single" w:color="auto" w:sz="4" w:space="0"/>
            </w:tcBorders>
            <w:vAlign w:val="center"/>
          </w:tcPr>
          <w:p w14:paraId="372DEABF">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rPr>
              <w:t>只能在限价范围内报价，只能有一个有效报价，不得提交选择性报价。</w:t>
            </w:r>
          </w:p>
        </w:tc>
      </w:tr>
      <w:tr w14:paraId="023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4725D4D5">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2</w:t>
            </w:r>
          </w:p>
        </w:tc>
        <w:tc>
          <w:tcPr>
            <w:tcW w:w="1065" w:type="dxa"/>
            <w:vMerge w:val="restart"/>
            <w:tcBorders>
              <w:top w:val="single" w:color="auto" w:sz="4" w:space="0"/>
              <w:left w:val="nil"/>
              <w:bottom w:val="single" w:color="auto" w:sz="4" w:space="0"/>
              <w:right w:val="single" w:color="auto" w:sz="4" w:space="0"/>
            </w:tcBorders>
            <w:vAlign w:val="top"/>
          </w:tcPr>
          <w:p w14:paraId="05FC4849">
            <w:pPr>
              <w:keepLines w:val="0"/>
              <w:pageBreakBefore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完整性审查</w:t>
            </w:r>
          </w:p>
        </w:tc>
        <w:tc>
          <w:tcPr>
            <w:tcW w:w="1830" w:type="dxa"/>
            <w:tcBorders>
              <w:top w:val="single" w:color="auto" w:sz="4" w:space="0"/>
              <w:left w:val="nil"/>
              <w:bottom w:val="single" w:color="auto" w:sz="4" w:space="0"/>
              <w:right w:val="single" w:color="auto" w:sz="4" w:space="0"/>
            </w:tcBorders>
            <w:vAlign w:val="center"/>
          </w:tcPr>
          <w:p w14:paraId="6DCC5B99">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pacing w:val="0"/>
                <w:w w:val="100"/>
                <w:kern w:val="0"/>
                <w:sz w:val="28"/>
                <w:szCs w:val="28"/>
                <w:u w:val="none"/>
                <w:fitText w:val="1680" w:id="462050389"/>
                <w:lang w:eastAsia="zh-CN"/>
              </w:rPr>
              <w:t>响应</w:t>
            </w:r>
            <w:r>
              <w:rPr>
                <w:rFonts w:hint="eastAsia" w:ascii="方正仿宋_GB2312" w:hAnsi="方正仿宋_GB2312" w:eastAsia="方正仿宋_GB2312" w:cs="方正仿宋_GB2312"/>
                <w:color w:val="auto"/>
                <w:spacing w:val="0"/>
                <w:w w:val="100"/>
                <w:kern w:val="0"/>
                <w:sz w:val="28"/>
                <w:szCs w:val="28"/>
                <w:u w:val="none"/>
                <w:fitText w:val="1680" w:id="462050389"/>
              </w:rPr>
              <w:t>文件份数</w:t>
            </w:r>
          </w:p>
        </w:tc>
        <w:tc>
          <w:tcPr>
            <w:tcW w:w="5370" w:type="dxa"/>
            <w:tcBorders>
              <w:top w:val="single" w:color="auto" w:sz="4" w:space="0"/>
              <w:left w:val="nil"/>
              <w:bottom w:val="single" w:color="auto" w:sz="4" w:space="0"/>
              <w:right w:val="single" w:color="auto" w:sz="4" w:space="0"/>
            </w:tcBorders>
            <w:vAlign w:val="center"/>
          </w:tcPr>
          <w:p w14:paraId="396A22CA">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eastAsia="zh-CN"/>
              </w:rPr>
              <w:t>响应</w:t>
            </w:r>
            <w:r>
              <w:rPr>
                <w:rFonts w:hint="eastAsia" w:ascii="方正仿宋_GB2312" w:hAnsi="方正仿宋_GB2312" w:eastAsia="方正仿宋_GB2312" w:cs="方正仿宋_GB2312"/>
                <w:color w:val="auto"/>
                <w:sz w:val="28"/>
                <w:szCs w:val="28"/>
              </w:rPr>
              <w:t>文件正本、副本数量符合</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文件要求。</w:t>
            </w:r>
          </w:p>
        </w:tc>
      </w:tr>
      <w:tr w14:paraId="5EB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5" w:type="dxa"/>
            <w:vMerge w:val="continue"/>
            <w:tcBorders>
              <w:top w:val="nil"/>
              <w:left w:val="single" w:color="auto" w:sz="4" w:space="0"/>
              <w:bottom w:val="single" w:color="auto" w:sz="4" w:space="0"/>
              <w:right w:val="single" w:color="auto" w:sz="4" w:space="0"/>
            </w:tcBorders>
            <w:vAlign w:val="center"/>
          </w:tcPr>
          <w:p w14:paraId="056F7DA9">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065" w:type="dxa"/>
            <w:vMerge w:val="continue"/>
            <w:tcBorders>
              <w:top w:val="nil"/>
              <w:left w:val="nil"/>
              <w:bottom w:val="single" w:color="auto" w:sz="4" w:space="0"/>
              <w:right w:val="single" w:color="auto" w:sz="4" w:space="0"/>
            </w:tcBorders>
            <w:vAlign w:val="top"/>
          </w:tcPr>
          <w:p w14:paraId="46E2029D">
            <w:pPr>
              <w:keepLines w:val="0"/>
              <w:pageBreakBefore w:val="0"/>
              <w:widowControl/>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color w:val="auto"/>
                <w:kern w:val="0"/>
                <w:sz w:val="28"/>
                <w:szCs w:val="28"/>
              </w:rPr>
            </w:pPr>
          </w:p>
        </w:tc>
        <w:tc>
          <w:tcPr>
            <w:tcW w:w="1830" w:type="dxa"/>
            <w:tcBorders>
              <w:top w:val="single" w:color="auto" w:sz="4" w:space="0"/>
              <w:left w:val="nil"/>
              <w:bottom w:val="single" w:color="auto" w:sz="4" w:space="0"/>
              <w:right w:val="single" w:color="auto" w:sz="4" w:space="0"/>
            </w:tcBorders>
            <w:vAlign w:val="center"/>
          </w:tcPr>
          <w:p w14:paraId="412383E3">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pacing w:val="0"/>
                <w:w w:val="100"/>
                <w:kern w:val="0"/>
                <w:sz w:val="28"/>
                <w:szCs w:val="28"/>
                <w:fitText w:val="1680" w:id="927938763"/>
                <w:lang w:eastAsia="zh-CN"/>
              </w:rPr>
              <w:t>响应</w:t>
            </w:r>
            <w:r>
              <w:rPr>
                <w:rFonts w:hint="eastAsia" w:ascii="方正仿宋_GB2312" w:hAnsi="方正仿宋_GB2312" w:eastAsia="方正仿宋_GB2312" w:cs="方正仿宋_GB2312"/>
                <w:color w:val="auto"/>
                <w:spacing w:val="0"/>
                <w:w w:val="100"/>
                <w:kern w:val="0"/>
                <w:sz w:val="28"/>
                <w:szCs w:val="28"/>
                <w:fitText w:val="1680" w:id="927938763"/>
              </w:rPr>
              <w:t>文件内容</w:t>
            </w:r>
          </w:p>
        </w:tc>
        <w:tc>
          <w:tcPr>
            <w:tcW w:w="5370" w:type="dxa"/>
            <w:tcBorders>
              <w:top w:val="single" w:color="auto" w:sz="4" w:space="0"/>
              <w:left w:val="nil"/>
              <w:bottom w:val="single" w:color="auto" w:sz="4" w:space="0"/>
              <w:right w:val="single" w:color="auto" w:sz="4" w:space="0"/>
            </w:tcBorders>
            <w:vAlign w:val="center"/>
          </w:tcPr>
          <w:p w14:paraId="2A342A60">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响应</w:t>
            </w:r>
            <w:r>
              <w:rPr>
                <w:rFonts w:hint="eastAsia" w:ascii="方正仿宋_GB2312" w:hAnsi="方正仿宋_GB2312" w:eastAsia="方正仿宋_GB2312" w:cs="方正仿宋_GB2312"/>
                <w:color w:val="auto"/>
                <w:sz w:val="28"/>
                <w:szCs w:val="28"/>
              </w:rPr>
              <w:t>文件内容齐全、无遗漏。</w:t>
            </w:r>
          </w:p>
        </w:tc>
      </w:tr>
      <w:tr w14:paraId="5B5B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5" w:type="dxa"/>
            <w:vMerge w:val="restart"/>
            <w:tcBorders>
              <w:top w:val="nil"/>
              <w:left w:val="single" w:color="auto" w:sz="4" w:space="0"/>
              <w:bottom w:val="single" w:color="auto" w:sz="4" w:space="0"/>
              <w:right w:val="single" w:color="auto" w:sz="4" w:space="0"/>
            </w:tcBorders>
            <w:vAlign w:val="center"/>
          </w:tcPr>
          <w:p w14:paraId="7A010E09">
            <w:pPr>
              <w:keepLines w:val="0"/>
              <w:pageBreakBefore w:val="0"/>
              <w:kinsoku/>
              <w:wordWrap/>
              <w:overflowPunct/>
              <w:topLinePunct w:val="0"/>
              <w:autoSpaceDE/>
              <w:autoSpaceDN/>
              <w:bidi w:val="0"/>
              <w:spacing w:line="594" w:lineRule="exact"/>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3</w:t>
            </w:r>
          </w:p>
        </w:tc>
        <w:tc>
          <w:tcPr>
            <w:tcW w:w="1065" w:type="dxa"/>
            <w:vMerge w:val="restart"/>
            <w:tcBorders>
              <w:top w:val="nil"/>
              <w:left w:val="nil"/>
              <w:bottom w:val="single" w:color="auto" w:sz="4" w:space="0"/>
              <w:right w:val="single" w:color="auto" w:sz="4" w:space="0"/>
            </w:tcBorders>
            <w:vAlign w:val="top"/>
          </w:tcPr>
          <w:p w14:paraId="7DE32FB7">
            <w:pPr>
              <w:keepLines w:val="0"/>
              <w:pageBreakBefore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0"/>
                <w:sz w:val="28"/>
                <w:szCs w:val="28"/>
                <w:lang w:eastAsia="zh-CN"/>
              </w:rPr>
              <w:t>比选</w:t>
            </w:r>
            <w:r>
              <w:rPr>
                <w:rFonts w:hint="eastAsia" w:ascii="方正仿宋_GB2312" w:hAnsi="方正仿宋_GB2312" w:eastAsia="方正仿宋_GB2312" w:cs="方正仿宋_GB2312"/>
                <w:color w:val="auto"/>
                <w:kern w:val="0"/>
                <w:sz w:val="28"/>
                <w:szCs w:val="28"/>
              </w:rPr>
              <w:t>文件的响应程度审查</w:t>
            </w:r>
          </w:p>
        </w:tc>
        <w:tc>
          <w:tcPr>
            <w:tcW w:w="1830" w:type="dxa"/>
            <w:tcBorders>
              <w:top w:val="single" w:color="auto" w:sz="4" w:space="0"/>
              <w:left w:val="nil"/>
              <w:bottom w:val="single" w:color="auto" w:sz="4" w:space="0"/>
              <w:right w:val="single" w:color="auto" w:sz="4" w:space="0"/>
            </w:tcBorders>
            <w:vAlign w:val="center"/>
          </w:tcPr>
          <w:p w14:paraId="143F063B">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pacing w:val="0"/>
                <w:w w:val="100"/>
                <w:kern w:val="0"/>
                <w:sz w:val="28"/>
                <w:szCs w:val="28"/>
                <w:fitText w:val="1680" w:id="1980652037"/>
                <w:lang w:eastAsia="zh-CN"/>
              </w:rPr>
              <w:t>响应</w:t>
            </w:r>
            <w:r>
              <w:rPr>
                <w:rFonts w:hint="eastAsia" w:ascii="方正仿宋_GB2312" w:hAnsi="方正仿宋_GB2312" w:eastAsia="方正仿宋_GB2312" w:cs="方正仿宋_GB2312"/>
                <w:color w:val="auto"/>
                <w:spacing w:val="0"/>
                <w:w w:val="100"/>
                <w:kern w:val="0"/>
                <w:sz w:val="28"/>
                <w:szCs w:val="28"/>
                <w:fitText w:val="1680" w:id="1980652037"/>
              </w:rPr>
              <w:t>文件内容</w:t>
            </w:r>
          </w:p>
        </w:tc>
        <w:tc>
          <w:tcPr>
            <w:tcW w:w="5370" w:type="dxa"/>
            <w:tcBorders>
              <w:top w:val="single" w:color="auto" w:sz="4" w:space="0"/>
              <w:left w:val="nil"/>
              <w:bottom w:val="single" w:color="auto" w:sz="4" w:space="0"/>
              <w:right w:val="single" w:color="auto" w:sz="4" w:space="0"/>
            </w:tcBorders>
            <w:vAlign w:val="center"/>
          </w:tcPr>
          <w:p w14:paraId="20D7FCB8">
            <w:pPr>
              <w:pStyle w:val="15"/>
              <w:keepLines w:val="0"/>
              <w:pageBreakBefore w:val="0"/>
              <w:widowControl w:val="0"/>
              <w:kinsoku/>
              <w:wordWrap/>
              <w:overflowPunct/>
              <w:topLinePunct w:val="0"/>
              <w:autoSpaceDE/>
              <w:autoSpaceDN/>
              <w:bidi w:val="0"/>
              <w:spacing w:before="0" w:beforeAutospacing="0" w:after="0" w:afterAutospacing="0"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对</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文件第一</w:t>
            </w:r>
            <w:r>
              <w:rPr>
                <w:rFonts w:hint="eastAsia" w:ascii="方正仿宋_GB2312" w:hAnsi="方正仿宋_GB2312" w:eastAsia="方正仿宋_GB2312" w:cs="方正仿宋_GB2312"/>
                <w:color w:val="auto"/>
                <w:sz w:val="28"/>
                <w:szCs w:val="28"/>
                <w:lang w:eastAsia="zh-CN"/>
              </w:rPr>
              <w:t>章</w:t>
            </w:r>
            <w:r>
              <w:rPr>
                <w:rFonts w:hint="eastAsia" w:ascii="方正仿宋_GB2312" w:hAnsi="方正仿宋_GB2312" w:eastAsia="方正仿宋_GB2312" w:cs="方正仿宋_GB2312"/>
                <w:color w:val="auto"/>
                <w:sz w:val="28"/>
                <w:szCs w:val="28"/>
              </w:rPr>
              <w:t>和第二</w:t>
            </w:r>
            <w:r>
              <w:rPr>
                <w:rFonts w:hint="eastAsia" w:ascii="方正仿宋_GB2312" w:hAnsi="方正仿宋_GB2312" w:eastAsia="方正仿宋_GB2312" w:cs="方正仿宋_GB2312"/>
                <w:color w:val="auto"/>
                <w:sz w:val="28"/>
                <w:szCs w:val="28"/>
                <w:lang w:eastAsia="zh-CN"/>
              </w:rPr>
              <w:t>章</w:t>
            </w:r>
            <w:r>
              <w:rPr>
                <w:rFonts w:hint="eastAsia" w:ascii="方正仿宋_GB2312" w:hAnsi="方正仿宋_GB2312" w:eastAsia="方正仿宋_GB2312" w:cs="方正仿宋_GB2312"/>
                <w:color w:val="auto"/>
                <w:sz w:val="28"/>
                <w:szCs w:val="28"/>
              </w:rPr>
              <w:t>规定的招标内容全部作出响应。</w:t>
            </w:r>
          </w:p>
        </w:tc>
      </w:tr>
      <w:tr w14:paraId="1620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dxa"/>
            <w:vMerge w:val="continue"/>
            <w:tcBorders>
              <w:top w:val="nil"/>
              <w:left w:val="single" w:color="auto" w:sz="4" w:space="0"/>
              <w:bottom w:val="single" w:color="auto" w:sz="4" w:space="0"/>
              <w:right w:val="single" w:color="auto" w:sz="4" w:space="0"/>
            </w:tcBorders>
            <w:vAlign w:val="center"/>
          </w:tcPr>
          <w:p w14:paraId="2B293F46">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kern w:val="0"/>
                <w:sz w:val="28"/>
                <w:szCs w:val="28"/>
              </w:rPr>
            </w:pPr>
          </w:p>
        </w:tc>
        <w:tc>
          <w:tcPr>
            <w:tcW w:w="1065" w:type="dxa"/>
            <w:vMerge w:val="continue"/>
            <w:tcBorders>
              <w:top w:val="nil"/>
              <w:left w:val="nil"/>
              <w:bottom w:val="single" w:color="auto" w:sz="4" w:space="0"/>
              <w:right w:val="single" w:color="auto" w:sz="4" w:space="0"/>
            </w:tcBorders>
            <w:vAlign w:val="center"/>
          </w:tcPr>
          <w:p w14:paraId="10513F31">
            <w:pPr>
              <w:keepLines w:val="0"/>
              <w:pageBreakBefore w:val="0"/>
              <w:widowControl/>
              <w:kinsoku/>
              <w:wordWrap/>
              <w:overflowPunct/>
              <w:topLinePunct w:val="0"/>
              <w:autoSpaceDE/>
              <w:autoSpaceDN/>
              <w:bidi w:val="0"/>
              <w:spacing w:line="594" w:lineRule="exact"/>
              <w:jc w:val="left"/>
              <w:textAlignment w:val="auto"/>
              <w:rPr>
                <w:rFonts w:hint="eastAsia" w:ascii="方正仿宋_GB2312" w:hAnsi="方正仿宋_GB2312" w:eastAsia="方正仿宋_GB2312" w:cs="方正仿宋_GB2312"/>
                <w:color w:val="auto"/>
                <w:sz w:val="28"/>
                <w:szCs w:val="28"/>
              </w:rPr>
            </w:pPr>
          </w:p>
        </w:tc>
        <w:tc>
          <w:tcPr>
            <w:tcW w:w="1830" w:type="dxa"/>
            <w:tcBorders>
              <w:top w:val="single" w:color="auto" w:sz="4" w:space="0"/>
              <w:left w:val="nil"/>
              <w:bottom w:val="single" w:color="auto" w:sz="4" w:space="0"/>
              <w:right w:val="single" w:color="auto" w:sz="4" w:space="0"/>
            </w:tcBorders>
            <w:vAlign w:val="center"/>
          </w:tcPr>
          <w:p w14:paraId="54D57915">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投标有效期</w:t>
            </w:r>
          </w:p>
        </w:tc>
        <w:tc>
          <w:tcPr>
            <w:tcW w:w="5370" w:type="dxa"/>
            <w:tcBorders>
              <w:top w:val="single" w:color="auto" w:sz="4" w:space="0"/>
              <w:left w:val="nil"/>
              <w:bottom w:val="single" w:color="auto" w:sz="4" w:space="0"/>
              <w:right w:val="single" w:color="auto" w:sz="4" w:space="0"/>
            </w:tcBorders>
            <w:vAlign w:val="center"/>
          </w:tcPr>
          <w:p w14:paraId="37586EC0">
            <w:pPr>
              <w:keepLines w:val="0"/>
              <w:pageBreakBefore w:val="0"/>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满足</w:t>
            </w:r>
            <w:r>
              <w:rPr>
                <w:rFonts w:hint="eastAsia" w:ascii="方正仿宋_GB2312" w:hAnsi="方正仿宋_GB2312" w:eastAsia="方正仿宋_GB2312" w:cs="方正仿宋_GB2312"/>
                <w:color w:val="auto"/>
                <w:kern w:val="0"/>
                <w:sz w:val="28"/>
                <w:szCs w:val="28"/>
                <w:lang w:eastAsia="zh-CN"/>
              </w:rPr>
              <w:t>比选</w:t>
            </w:r>
            <w:r>
              <w:rPr>
                <w:rFonts w:hint="eastAsia" w:ascii="方正仿宋_GB2312" w:hAnsi="方正仿宋_GB2312" w:eastAsia="方正仿宋_GB2312" w:cs="方正仿宋_GB2312"/>
                <w:color w:val="auto"/>
                <w:kern w:val="0"/>
                <w:sz w:val="28"/>
                <w:szCs w:val="28"/>
              </w:rPr>
              <w:t>文件</w:t>
            </w:r>
            <w:r>
              <w:rPr>
                <w:rFonts w:hint="eastAsia" w:ascii="方正仿宋_GB2312" w:hAnsi="方正仿宋_GB2312" w:eastAsia="方正仿宋_GB2312" w:cs="方正仿宋_GB2312"/>
                <w:color w:val="auto"/>
                <w:sz w:val="28"/>
                <w:szCs w:val="28"/>
              </w:rPr>
              <w:t>规定</w:t>
            </w:r>
            <w:r>
              <w:rPr>
                <w:rFonts w:hint="eastAsia" w:ascii="方正仿宋_GB2312" w:hAnsi="方正仿宋_GB2312" w:eastAsia="方正仿宋_GB2312" w:cs="方正仿宋_GB2312"/>
                <w:color w:val="auto"/>
                <w:sz w:val="28"/>
                <w:szCs w:val="28"/>
                <w:lang w:eastAsia="zh-CN"/>
              </w:rPr>
              <w:t>（投标有效期：</w:t>
            </w:r>
            <w:r>
              <w:rPr>
                <w:rFonts w:hint="eastAsia" w:ascii="方正仿宋_GB2312" w:hAnsi="方正仿宋_GB2312" w:eastAsia="方正仿宋_GB2312" w:cs="方正仿宋_GB2312"/>
                <w:b/>
                <w:bCs/>
                <w:color w:val="auto"/>
                <w:sz w:val="28"/>
                <w:szCs w:val="28"/>
                <w:u w:val="single"/>
                <w:lang w:val="en-US" w:eastAsia="zh-CN"/>
              </w:rPr>
              <w:t>90</w:t>
            </w:r>
            <w:r>
              <w:rPr>
                <w:rFonts w:hint="eastAsia" w:ascii="方正仿宋_GB2312" w:hAnsi="方正仿宋_GB2312" w:eastAsia="方正仿宋_GB2312" w:cs="方正仿宋_GB2312"/>
                <w:b/>
                <w:bCs/>
                <w:color w:val="auto"/>
                <w:sz w:val="28"/>
                <w:szCs w:val="28"/>
                <w:lang w:val="en-US" w:eastAsia="zh-CN"/>
              </w:rPr>
              <w:t>天</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tc>
      </w:tr>
    </w:tbl>
    <w:p w14:paraId="27CEEB5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13EA1202">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3D1135D6">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5" w:name="_Toc467675507"/>
      <w:bookmarkEnd w:id="15"/>
      <w:bookmarkStart w:id="16" w:name="_Toc441065675"/>
      <w:bookmarkEnd w:id="16"/>
      <w:bookmarkStart w:id="17" w:name="_Toc267320057"/>
    </w:p>
    <w:p w14:paraId="3CB38415">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7"/>
      <w:r>
        <w:rPr>
          <w:rFonts w:hint="eastAsia" w:ascii="方正仿宋_GB2312" w:hAnsi="方正仿宋_GB2312" w:eastAsia="方正仿宋_GB2312" w:cs="方正仿宋_GB2312"/>
          <w:b/>
          <w:bCs/>
          <w:color w:val="auto"/>
          <w:kern w:val="0"/>
          <w:sz w:val="32"/>
          <w:szCs w:val="32"/>
          <w:lang w:val="en-US" w:eastAsia="zh-CN" w:bidi="ar-SA"/>
        </w:rPr>
        <w:t>：</w:t>
      </w:r>
    </w:p>
    <w:p w14:paraId="4331586A">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5807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6494B57">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7B82F0C9">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76BFD9DF">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6AC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773F3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6428C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51F59E59">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15%</w:t>
            </w:r>
          </w:p>
        </w:tc>
      </w:tr>
      <w:tr w14:paraId="6BB1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8642979">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0B4EA979">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521CA165">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64%</w:t>
            </w:r>
          </w:p>
        </w:tc>
      </w:tr>
      <w:tr w14:paraId="38FD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643B1865">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18605465">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011B87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21%</w:t>
            </w:r>
          </w:p>
        </w:tc>
      </w:tr>
      <w:tr w14:paraId="7E66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11FB8968">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724052A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01BA7D60">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574D2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7" w:type="dxa"/>
            <w:vAlign w:val="center"/>
          </w:tcPr>
          <w:p w14:paraId="05BD4A7D">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749A659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7A180D5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3C66C71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62CEB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580F0AB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4BCA03A2">
            <w:pPr>
              <w:ind w:right="113"/>
              <w:jc w:val="center"/>
              <w:rPr>
                <w:rFonts w:hint="eastAsia"/>
                <w:b w:val="0"/>
                <w:bCs w:val="0"/>
                <w:color w:val="auto"/>
                <w:lang w:val="en-US" w:eastAsia="zh-CN"/>
              </w:rPr>
            </w:pPr>
            <w:r>
              <w:rPr>
                <w:rFonts w:hint="eastAsia"/>
                <w:b w:val="0"/>
                <w:bCs w:val="0"/>
                <w:color w:val="auto"/>
                <w:lang w:val="en-US" w:eastAsia="zh-CN"/>
              </w:rPr>
              <w:t>报价</w:t>
            </w:r>
          </w:p>
          <w:p w14:paraId="03707ACD">
            <w:pPr>
              <w:ind w:right="113" w:rightChars="0"/>
              <w:jc w:val="center"/>
              <w:rPr>
                <w:rFonts w:hint="eastAsia" w:asciiTheme="minorEastAsia" w:hAnsiTheme="minorEastAsia" w:eastAsiaTheme="minorEastAsia" w:cstheme="minorEastAsia"/>
                <w:color w:val="auto"/>
                <w:sz w:val="24"/>
                <w:szCs w:val="24"/>
              </w:rPr>
            </w:pPr>
            <w:r>
              <w:rPr>
                <w:rFonts w:hint="eastAsia"/>
                <w:b w:val="0"/>
                <w:bCs w:val="0"/>
                <w:color w:val="auto"/>
                <w:lang w:val="en-US" w:eastAsia="zh-CN"/>
              </w:rPr>
              <w:t>（15分）</w:t>
            </w:r>
          </w:p>
        </w:tc>
        <w:tc>
          <w:tcPr>
            <w:tcW w:w="7065" w:type="dxa"/>
            <w:gridSpan w:val="2"/>
            <w:tcBorders>
              <w:left w:val="single" w:color="auto" w:sz="4" w:space="0"/>
              <w:bottom w:val="single" w:color="auto" w:sz="4" w:space="0"/>
            </w:tcBorders>
            <w:vAlign w:val="center"/>
          </w:tcPr>
          <w:p w14:paraId="13A97D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rPr>
              <w:t>以经评委会一致认定满足</w:t>
            </w:r>
            <w:r>
              <w:rPr>
                <w:rFonts w:hint="eastAsia" w:ascii="宋体" w:hAnsi="宋体" w:cs="宋体"/>
                <w:color w:val="auto"/>
                <w:szCs w:val="21"/>
                <w:lang w:eastAsia="zh-CN"/>
              </w:rPr>
              <w:t>比选文件</w:t>
            </w:r>
            <w:r>
              <w:rPr>
                <w:rFonts w:hint="eastAsia" w:ascii="宋体" w:hAnsi="宋体" w:cs="宋体"/>
                <w:color w:val="auto"/>
                <w:szCs w:val="21"/>
              </w:rPr>
              <w:t>要求且投标价格经过扣除以后最低的评标价格为评标基准价，其价格得分计</w:t>
            </w:r>
            <w:r>
              <w:rPr>
                <w:rFonts w:hint="eastAsia" w:ascii="宋体" w:hAnsi="宋体" w:cs="宋体"/>
                <w:color w:val="auto"/>
                <w:szCs w:val="21"/>
                <w:lang w:val="en-US" w:eastAsia="zh-CN"/>
              </w:rPr>
              <w:t>15</w:t>
            </w:r>
            <w:r>
              <w:rPr>
                <w:rFonts w:hint="eastAsia" w:ascii="宋体" w:hAnsi="宋体" w:cs="宋体"/>
                <w:color w:val="auto"/>
                <w:szCs w:val="21"/>
              </w:rPr>
              <w:t>分。其他投标人的价格得分统一按公式计算：报价得分=（评标基准价÷评标价格）×</w:t>
            </w:r>
            <w:r>
              <w:rPr>
                <w:rFonts w:hint="eastAsia" w:ascii="宋体" w:hAnsi="宋体" w:cs="宋体"/>
                <w:color w:val="auto"/>
                <w:szCs w:val="21"/>
                <w:lang w:val="en-US" w:eastAsia="zh-CN"/>
              </w:rPr>
              <w:t>15</w:t>
            </w:r>
          </w:p>
          <w:p w14:paraId="04F72B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val="en-US" w:eastAsia="zh-CN"/>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4330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0" w:hRule="atLeast"/>
        </w:trPr>
        <w:tc>
          <w:tcPr>
            <w:tcW w:w="607" w:type="dxa"/>
            <w:vMerge w:val="restart"/>
            <w:vAlign w:val="center"/>
          </w:tcPr>
          <w:p w14:paraId="1C591EFC">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55A723A9">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技术部分 </w:t>
            </w:r>
          </w:p>
          <w:p w14:paraId="387BEBF5">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64</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7D2E1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采购需求</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cstheme="minorEastAsia"/>
                <w:color w:val="auto"/>
                <w:sz w:val="21"/>
                <w:szCs w:val="21"/>
                <w:lang w:val="en-US" w:eastAsia="zh-CN"/>
              </w:rPr>
              <w:t>度</w:t>
            </w:r>
          </w:p>
          <w:p w14:paraId="2D2837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lang w:val="en-US" w:eastAsia="zh-CN"/>
              </w:rPr>
              <w:t>分)</w:t>
            </w:r>
          </w:p>
        </w:tc>
        <w:tc>
          <w:tcPr>
            <w:tcW w:w="5858" w:type="dxa"/>
            <w:tcBorders>
              <w:left w:val="single" w:color="auto" w:sz="4" w:space="0"/>
              <w:bottom w:val="single" w:color="auto" w:sz="4" w:space="0"/>
            </w:tcBorders>
            <w:vAlign w:val="center"/>
          </w:tcPr>
          <w:p w14:paraId="241260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4"/>
                <w:szCs w:val="24"/>
                <w:lang w:val="en-US" w:eastAsia="zh-CN" w:bidi="ar"/>
              </w:rPr>
            </w:pPr>
            <w:r>
              <w:rPr>
                <w:rFonts w:hint="eastAsia" w:ascii="宋体" w:hAnsi="宋体" w:cs="宋体"/>
                <w:color w:val="auto"/>
                <w:szCs w:val="21"/>
                <w:lang w:val="en-US" w:eastAsia="zh-CN"/>
              </w:rPr>
              <w:t>投标供应商对“第二章 采购需求 三、技术服务要求”内容作出逐条响应（以供应商提供的采购需求响应/偏离表为准），完全满足比选文件要求的计30分；有缺项或对技术/服务要求条款有负偏离的，每条扣3分，其中子项有负偏离的，每条扣1.5分，扣完为止。</w:t>
            </w:r>
          </w:p>
        </w:tc>
      </w:tr>
      <w:tr w14:paraId="05F18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07" w:type="dxa"/>
            <w:vMerge w:val="continue"/>
            <w:vAlign w:val="center"/>
          </w:tcPr>
          <w:p w14:paraId="013C338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4A28860A">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vMerge w:val="restart"/>
            <w:tcBorders>
              <w:left w:val="single" w:color="auto" w:sz="4" w:space="0"/>
              <w:right w:val="single" w:color="auto" w:sz="4" w:space="0"/>
            </w:tcBorders>
            <w:vAlign w:val="center"/>
          </w:tcPr>
          <w:p w14:paraId="0F4B28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服务方案</w:t>
            </w:r>
          </w:p>
          <w:p w14:paraId="12D628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（34分）</w:t>
            </w:r>
          </w:p>
        </w:tc>
        <w:tc>
          <w:tcPr>
            <w:tcW w:w="5858" w:type="dxa"/>
            <w:tcBorders>
              <w:left w:val="single" w:color="auto" w:sz="4" w:space="0"/>
              <w:bottom w:val="single" w:color="auto" w:sz="4" w:space="0"/>
            </w:tcBorders>
            <w:vAlign w:val="center"/>
          </w:tcPr>
          <w:p w14:paraId="44EBA09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承保服务方案和流程（10分）</w:t>
            </w:r>
          </w:p>
          <w:p w14:paraId="2A8A623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根据投标人针对本项目采购要求提供承保服务方案和流程，包括但不限于①承保服务方案；②承保流程及说明；③专业服务团队人员配置；④日常咨询服务。①-④项内容完整、详细、可行性强、针对性强的每项计2.5分，最多计10分；①-④项内容中任意一项内容有欠合理或内容不完整或表述模糊不清的，则该项每处扣1分，扣完为止。未提供方案的不计分。</w:t>
            </w:r>
          </w:p>
          <w:p w14:paraId="712AAB5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cstheme="minorEastAsia"/>
                <w:color w:val="auto"/>
                <w:sz w:val="21"/>
                <w:szCs w:val="21"/>
                <w:lang w:val="en-US" w:eastAsia="zh-CN"/>
              </w:rPr>
            </w:pPr>
            <w:r>
              <w:rPr>
                <w:rFonts w:hint="eastAsia" w:ascii="宋体" w:hAnsi="宋体" w:eastAsia="宋体" w:cs="宋体"/>
                <w:b/>
                <w:bCs/>
                <w:color w:val="auto"/>
                <w:kern w:val="0"/>
                <w:szCs w:val="21"/>
                <w:lang w:val="en-US" w:eastAsia="zh-CN"/>
              </w:rPr>
              <w:t>（“欠合理或内容不完整或表述模糊不清”是指方案内容与项目需求不一致或无关联性，方案内容与实际实施存在差异性，内容空洞、语义表述不清，前后矛盾，存在歧义、错别字，混乱，内容不充实等。）</w:t>
            </w:r>
          </w:p>
        </w:tc>
      </w:tr>
      <w:tr w14:paraId="1E1FB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65" w:hRule="atLeast"/>
        </w:trPr>
        <w:tc>
          <w:tcPr>
            <w:tcW w:w="607" w:type="dxa"/>
            <w:vMerge w:val="continue"/>
            <w:vAlign w:val="center"/>
          </w:tcPr>
          <w:p w14:paraId="33E4294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26AD4DC8">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vMerge w:val="continue"/>
            <w:tcBorders>
              <w:left w:val="single" w:color="auto" w:sz="4" w:space="0"/>
              <w:right w:val="single" w:color="auto" w:sz="4" w:space="0"/>
            </w:tcBorders>
            <w:vAlign w:val="center"/>
          </w:tcPr>
          <w:p w14:paraId="1DD7FF4C">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p>
        </w:tc>
        <w:tc>
          <w:tcPr>
            <w:tcW w:w="5858" w:type="dxa"/>
            <w:tcBorders>
              <w:left w:val="single" w:color="auto" w:sz="4" w:space="0"/>
              <w:bottom w:val="single" w:color="auto" w:sz="4" w:space="0"/>
            </w:tcBorders>
            <w:vAlign w:val="center"/>
          </w:tcPr>
          <w:p w14:paraId="4005E87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理赔服务方案和流程（24分）</w:t>
            </w:r>
          </w:p>
          <w:p w14:paraId="7D6928E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根据投标人针对本项目采购要求提供理赔服务方案和流程，包括但不限于①理赔流程及说明；②理赔争议调解机制；③理赔争议处理办法；④特殊情况处理措施等。</w:t>
            </w:r>
          </w:p>
          <w:p w14:paraId="01CAE81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①-④项内容完整、详细、可行性强、针对性强的每项计6分，最多计24分；①-④项内容中任意一项内容有欠合理或内容不完整或表述模糊不清的，则该项每处扣2分，扣完为止。未提供方案的不计分。</w:t>
            </w:r>
          </w:p>
          <w:p w14:paraId="3A1B788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（“欠合理或内容不完整或表述模糊不清”是指方案内容与项目需求不一致或无关联性，方案内容与实际实施存在差异性，内容空洞、语义表述不清，前后矛盾，存在歧义、错别字，混乱，内容不充实等。）</w:t>
            </w:r>
          </w:p>
        </w:tc>
      </w:tr>
      <w:tr w14:paraId="2C5DF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5" w:hRule="atLeast"/>
        </w:trPr>
        <w:tc>
          <w:tcPr>
            <w:tcW w:w="607" w:type="dxa"/>
            <w:vMerge w:val="restart"/>
            <w:vAlign w:val="center"/>
          </w:tcPr>
          <w:p w14:paraId="49969E9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6BF37BB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293FB53B">
            <w:pPr>
              <w:keepNext w:val="0"/>
              <w:keepLines w:val="0"/>
              <w:pageBreakBefore w:val="0"/>
              <w:widowControl/>
              <w:kinsoku/>
              <w:wordWrap/>
              <w:overflowPunct/>
              <w:topLinePunct w:val="0"/>
              <w:autoSpaceDE/>
              <w:autoSpaceDN/>
              <w:bidi w:val="0"/>
              <w:spacing w:line="420" w:lineRule="exact"/>
              <w:jc w:val="center"/>
              <w:textAlignment w:val="auto"/>
              <w:rPr>
                <w:rFonts w:hint="eastAsia" w:ascii="宋体" w:hAnsi="宋体" w:eastAsia="宋体" w:cs="宋体"/>
                <w:color w:val="auto"/>
                <w:sz w:val="21"/>
                <w:szCs w:val="21"/>
                <w:lang w:eastAsia="zh-CN"/>
              </w:rPr>
            </w:pPr>
            <w:r>
              <w:rPr>
                <w:rFonts w:hint="eastAsia" w:cs="宋体"/>
                <w:color w:val="auto"/>
                <w:szCs w:val="21"/>
                <w:lang w:val="en-US" w:eastAsia="zh-CN" w:bidi="ar"/>
              </w:rPr>
              <w:t>综合</w:t>
            </w:r>
            <w:r>
              <w:rPr>
                <w:rFonts w:hint="eastAsia" w:ascii="宋体" w:hAnsi="宋体" w:eastAsia="宋体" w:cs="宋体"/>
                <w:color w:val="auto"/>
                <w:sz w:val="21"/>
                <w:szCs w:val="21"/>
                <w:lang w:eastAsia="zh-CN"/>
              </w:rPr>
              <w:t>偿付能力充足率</w:t>
            </w:r>
          </w:p>
          <w:p w14:paraId="7037D189">
            <w:pPr>
              <w:keepNext w:val="0"/>
              <w:keepLines w:val="0"/>
              <w:pageBreakBefore w:val="0"/>
              <w:widowControl/>
              <w:kinsoku/>
              <w:wordWrap/>
              <w:overflowPunct/>
              <w:topLinePunct w:val="0"/>
              <w:autoSpaceDE/>
              <w:autoSpaceDN/>
              <w:bidi w:val="0"/>
              <w:spacing w:line="42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5858" w:type="dxa"/>
            <w:tcBorders>
              <w:left w:val="single" w:color="auto" w:sz="4" w:space="0"/>
            </w:tcBorders>
            <w:shd w:val="clear" w:color="auto" w:fill="auto"/>
            <w:vAlign w:val="center"/>
          </w:tcPr>
          <w:p w14:paraId="38488B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cs="宋体"/>
                <w:color w:val="auto"/>
                <w:szCs w:val="21"/>
                <w:lang w:val="en-US" w:eastAsia="zh-CN" w:bidi="ar"/>
              </w:rPr>
              <w:t>根据投标人提供符合</w:t>
            </w:r>
            <w:bookmarkStart w:id="18" w:name="OLE_LINK3"/>
            <w:r>
              <w:rPr>
                <w:rFonts w:hint="eastAsia" w:cs="宋体"/>
                <w:color w:val="auto"/>
                <w:szCs w:val="21"/>
                <w:lang w:val="en-US" w:eastAsia="zh-CN" w:bidi="ar"/>
              </w:rPr>
              <w:t>中国银保监委湖南监管局监管要求认可的2026年第一季度综合偿付能力充足率证明材料</w:t>
            </w:r>
            <w:bookmarkEnd w:id="18"/>
            <w:r>
              <w:rPr>
                <w:rFonts w:hint="eastAsia" w:cs="宋体"/>
                <w:color w:val="auto"/>
                <w:szCs w:val="21"/>
                <w:lang w:val="en-US" w:eastAsia="zh-CN" w:bidi="ar"/>
              </w:rPr>
              <w:t>，其综合偿付能力充足率达到215%（不含）以上的计6分，215%（含）至190%（不含）之间的计3分，190%（含）以下的计1分，未提供不计分。</w:t>
            </w:r>
            <w:r>
              <w:rPr>
                <w:rFonts w:hint="eastAsia" w:cs="宋体"/>
                <w:b/>
                <w:bCs/>
                <w:color w:val="auto"/>
                <w:szCs w:val="21"/>
                <w:lang w:val="en-US" w:eastAsia="zh-CN" w:bidi="ar"/>
              </w:rPr>
              <w:t>（注：以投标供应商的2026年第一季度偿付能力充足率报告或保险行业主管部门官网发布的情况或2026年第一季度财务审计报告为准，提供报告复印件或保险行业主管部门官网网址及截图并加盖供应商公章，否则不计分。）</w:t>
            </w:r>
          </w:p>
        </w:tc>
      </w:tr>
      <w:tr w14:paraId="09CAA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trPr>
        <w:tc>
          <w:tcPr>
            <w:tcW w:w="607" w:type="dxa"/>
            <w:vMerge w:val="continue"/>
            <w:vAlign w:val="center"/>
          </w:tcPr>
          <w:p w14:paraId="3E39289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3D24518C">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vAlign w:val="center"/>
          </w:tcPr>
          <w:p w14:paraId="42C2AB19">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公司实力（6）</w:t>
            </w:r>
          </w:p>
        </w:tc>
        <w:tc>
          <w:tcPr>
            <w:tcW w:w="5858" w:type="dxa"/>
            <w:tcBorders>
              <w:left w:val="single" w:color="auto" w:sz="4" w:space="0"/>
            </w:tcBorders>
            <w:vAlign w:val="center"/>
          </w:tcPr>
          <w:p w14:paraId="78C53D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color w:val="auto"/>
                <w:szCs w:val="21"/>
                <w:lang w:val="en-US" w:eastAsia="zh-CN" w:bidi="ar"/>
              </w:rPr>
            </w:pPr>
            <w:r>
              <w:rPr>
                <w:rFonts w:hint="eastAsia" w:cs="宋体"/>
                <w:color w:val="auto"/>
                <w:szCs w:val="21"/>
                <w:lang w:val="en-US" w:eastAsia="zh-CN" w:bidi="ar"/>
              </w:rPr>
              <w:t>根据投标人提供符合中国银保监委湖南监管局监管要求认可的2024年</w:t>
            </w:r>
            <w:bookmarkStart w:id="19" w:name="OLE_LINK2"/>
            <w:r>
              <w:rPr>
                <w:rFonts w:hint="eastAsia" w:cs="宋体"/>
                <w:color w:val="auto"/>
                <w:szCs w:val="21"/>
                <w:lang w:val="en-US" w:eastAsia="zh-CN" w:bidi="ar"/>
              </w:rPr>
              <w:t>SARMRA评估得分</w:t>
            </w:r>
            <w:bookmarkEnd w:id="19"/>
            <w:r>
              <w:rPr>
                <w:rFonts w:hint="eastAsia" w:cs="宋体"/>
                <w:color w:val="auto"/>
                <w:szCs w:val="21"/>
                <w:lang w:val="en-US" w:eastAsia="zh-CN" w:bidi="ar"/>
              </w:rPr>
              <w:t>为80分（含）以上的计6分；75分（含）以上的计3分；70（含）分以上的计1分，70分以下或未提供的不计分。</w:t>
            </w:r>
          </w:p>
          <w:p w14:paraId="2DBFBA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s="宋体"/>
                <w:color w:val="auto"/>
                <w:szCs w:val="21"/>
                <w:lang w:val="en-US" w:eastAsia="zh-CN" w:bidi="ar"/>
              </w:rPr>
            </w:pPr>
            <w:r>
              <w:rPr>
                <w:rFonts w:hint="eastAsia" w:cs="宋体"/>
                <w:b/>
                <w:bCs/>
                <w:color w:val="auto"/>
                <w:szCs w:val="21"/>
                <w:lang w:val="en-US" w:eastAsia="zh-CN" w:bidi="ar"/>
              </w:rPr>
              <w:t>（注：以投标供应商的2024年保险行业主管部门官网发布的情况或2024年审计报告为准，提供报告复印件或保险行业主管部门官网网址及截图并加盖供应商公章，否则不计分。）</w:t>
            </w:r>
          </w:p>
        </w:tc>
      </w:tr>
      <w:tr w14:paraId="26F7D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trPr>
        <w:tc>
          <w:tcPr>
            <w:tcW w:w="607" w:type="dxa"/>
            <w:vMerge w:val="continue"/>
            <w:vAlign w:val="center"/>
          </w:tcPr>
          <w:p w14:paraId="38FD0797">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046769F6">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5AC5AC16">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同类业绩</w:t>
            </w:r>
          </w:p>
          <w:p w14:paraId="4496CC7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（6分）</w:t>
            </w:r>
          </w:p>
        </w:tc>
        <w:tc>
          <w:tcPr>
            <w:tcW w:w="5858" w:type="dxa"/>
            <w:tcBorders>
              <w:left w:val="single" w:color="auto" w:sz="4" w:space="0"/>
            </w:tcBorders>
            <w:shd w:val="clear" w:color="auto" w:fill="auto"/>
            <w:vAlign w:val="center"/>
          </w:tcPr>
          <w:p w14:paraId="307294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宋体"/>
                <w:color w:val="auto"/>
                <w:szCs w:val="21"/>
                <w:lang w:val="en-US" w:eastAsia="zh-CN" w:bidi="ar"/>
              </w:rPr>
            </w:pPr>
            <w:r>
              <w:rPr>
                <w:rFonts w:hint="eastAsia" w:cs="宋体"/>
                <w:color w:val="auto"/>
                <w:szCs w:val="21"/>
                <w:lang w:val="en-US" w:eastAsia="zh-CN" w:bidi="ar"/>
              </w:rPr>
              <w:t>投标供应商提供自2024年以来（以合同甲方签订时间为准）的医疗责任保险服务项目业绩，每提供一个业绩计2分，最多计6分，未提供的不计分。</w:t>
            </w:r>
          </w:p>
          <w:p w14:paraId="782C85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cs="宋体"/>
                <w:color w:val="auto"/>
                <w:szCs w:val="21"/>
                <w:lang w:val="en-US" w:eastAsia="zh-CN" w:bidi="ar"/>
              </w:rPr>
              <w:t>（注：须提供项目合同复印件，合同首页及盖章页即可或双方发文的文件复印件或保单抄件,加盖供应商公章，未提供的不得分）</w:t>
            </w:r>
          </w:p>
        </w:tc>
      </w:tr>
      <w:tr w14:paraId="22C03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5" w:hRule="atLeast"/>
        </w:trPr>
        <w:tc>
          <w:tcPr>
            <w:tcW w:w="607" w:type="dxa"/>
            <w:vMerge w:val="continue"/>
            <w:vAlign w:val="center"/>
          </w:tcPr>
          <w:p w14:paraId="01C6CC9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7E2C168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6EE6289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投标文件编制</w:t>
            </w:r>
          </w:p>
          <w:p w14:paraId="24FDCD54">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（3分）</w:t>
            </w:r>
          </w:p>
        </w:tc>
        <w:tc>
          <w:tcPr>
            <w:tcW w:w="5858" w:type="dxa"/>
            <w:tcBorders>
              <w:top w:val="single" w:color="auto" w:sz="4" w:space="0"/>
              <w:left w:val="single" w:color="auto" w:sz="4" w:space="0"/>
            </w:tcBorders>
            <w:vAlign w:val="center"/>
          </w:tcPr>
          <w:p w14:paraId="0FF2499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投标响应文件按比选文件规定的格式、顺序编制，有目录、编页码，装订成册，书面完整无涂改，没有缺漏页、缺漏公章/签章/签名等，计3分；</w:t>
            </w:r>
          </w:p>
          <w:p w14:paraId="0A63405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投标文件制作不严谨、有欠缺的评委酌情扣分。</w:t>
            </w:r>
          </w:p>
        </w:tc>
      </w:tr>
      <w:tr w14:paraId="5134A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860" w:type="dxa"/>
            <w:gridSpan w:val="2"/>
            <w:shd w:val="clear" w:color="auto" w:fill="auto"/>
            <w:vAlign w:val="center"/>
          </w:tcPr>
          <w:p w14:paraId="1F397D7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6956F68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146FF6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1707F2C4">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5D2E4FA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20" w:name="_Toc467675508"/>
      <w:bookmarkEnd w:id="20"/>
      <w:r>
        <w:rPr>
          <w:rFonts w:hint="eastAsia" w:ascii="方正仿宋_GB2312" w:hAnsi="方正仿宋_GB2312" w:eastAsia="方正仿宋_GB2312" w:cs="方正仿宋_GB2312"/>
          <w:b/>
          <w:bCs/>
          <w:color w:val="auto"/>
          <w:kern w:val="0"/>
          <w:sz w:val="32"/>
          <w:szCs w:val="32"/>
          <w:lang w:val="en-US" w:eastAsia="zh-CN" w:bidi="ar-SA"/>
        </w:rPr>
        <w:t>二、</w:t>
      </w:r>
      <w:bookmarkStart w:id="21" w:name="_Toc426705217"/>
      <w:bookmarkEnd w:id="21"/>
      <w:bookmarkStart w:id="22"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22"/>
    </w:p>
    <w:p w14:paraId="100F42C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0F02B8D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1E98D30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399CEAE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w:t>
      </w:r>
      <w:r>
        <w:rPr>
          <w:rFonts w:hint="eastAsia" w:ascii="方正仿宋_GB2312" w:hAnsi="方正仿宋_GB2312" w:eastAsia="方正仿宋_GB2312" w:cs="方正仿宋_GB2312"/>
          <w:color w:val="auto"/>
          <w:sz w:val="32"/>
          <w:szCs w:val="32"/>
          <w:lang w:val="en-US" w:eastAsia="zh-CN"/>
        </w:rPr>
        <w:t>项目</w:t>
      </w:r>
      <w:r>
        <w:rPr>
          <w:rFonts w:hint="eastAsia" w:ascii="方正仿宋_GB2312" w:hAnsi="方正仿宋_GB2312" w:eastAsia="方正仿宋_GB2312" w:cs="方正仿宋_GB2312"/>
          <w:color w:val="auto"/>
          <w:sz w:val="32"/>
          <w:szCs w:val="32"/>
        </w:rPr>
        <w:t>招标中同时投标的；</w:t>
      </w:r>
    </w:p>
    <w:p w14:paraId="0D7C29D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16049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081AA18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0E974E1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79426DD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23" w:name="_Toc426705218"/>
      <w:bookmarkEnd w:id="23"/>
      <w:bookmarkStart w:id="24" w:name="_Toc467675509"/>
      <w:bookmarkEnd w:id="24"/>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47B1652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7710FCD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53F5D1A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12CD4A2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72916D7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29A2BD5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0E6C1A2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3D62127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172CDEE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53D08DD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w:t>
      </w:r>
      <w:r>
        <w:rPr>
          <w:rFonts w:hint="eastAsia" w:ascii="方正仿宋_GB2312" w:hAnsi="方正仿宋_GB2312" w:eastAsia="方正仿宋_GB2312" w:cs="方正仿宋_GB2312"/>
          <w:color w:val="auto"/>
          <w:sz w:val="32"/>
          <w:szCs w:val="32"/>
          <w:lang w:val="en-US" w:eastAsia="zh-CN"/>
        </w:rPr>
        <w:t>或实质性响应条款</w:t>
      </w:r>
      <w:r>
        <w:rPr>
          <w:rFonts w:hint="eastAsia" w:ascii="方正仿宋_GB2312" w:hAnsi="方正仿宋_GB2312" w:eastAsia="方正仿宋_GB2312" w:cs="方正仿宋_GB2312"/>
          <w:color w:val="auto"/>
          <w:sz w:val="32"/>
          <w:szCs w:val="32"/>
        </w:rPr>
        <w:t>负偏离的；</w:t>
      </w:r>
    </w:p>
    <w:p w14:paraId="077F1F1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1F05667D">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宋体" w:hAnsi="宋体" w:eastAsia="宋体" w:cs="Times New Roman"/>
          <w:color w:val="auto"/>
          <w:sz w:val="28"/>
          <w:szCs w:val="28"/>
        </w:rPr>
      </w:pPr>
      <w:r>
        <w:rPr>
          <w:rFonts w:hint="eastAsia" w:ascii="方正楷体_GB2312" w:hAnsi="方正楷体_GB2312" w:eastAsia="方正楷体_GB2312" w:cs="方正楷体_GB2312"/>
          <w:b/>
          <w:bCs/>
          <w:color w:val="auto"/>
          <w:sz w:val="32"/>
          <w:szCs w:val="32"/>
          <w:lang w:val="en-US" w:eastAsia="zh-CN"/>
        </w:rPr>
        <w:t>若有效投标人只有2家时，按照评标程序继续组织评标；若有效投标人只有1家时，通过医院政府采购分管领导、纪委书记、院长、党委书记批准同意，改成与本次采购活动的唯一合格有效投标人进行院内谈判采购，或者终止本次采购活动，重新开展采购。</w:t>
      </w:r>
    </w:p>
    <w:p w14:paraId="37D3E714">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0360043D">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F997CAB">
      <w:pPr>
        <w:pStyle w:val="11"/>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1DADFE5">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9D3133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7C39D63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30D7528B">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1A7D76B1">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2E1047DE">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A6A990E">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193AEE67">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25A4D30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16A205C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55BD7E9E">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72A73A09">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1DBB0DF0">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079758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EE5743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457F63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3CCCB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7F09EFD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7011E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59DC50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408EC82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53E65C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036A54F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075AAD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320B0D0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56CBC45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790CB0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7583E5D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B85302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353E3A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39BB709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签订合同后，中标人提供保险单、发票，采购人向中标人支付合同总额50%的保险费，6个月后支付剩余50%的保险费，不计利息。</w:t>
      </w:r>
    </w:p>
    <w:p w14:paraId="020BFEFB">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6A89E3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06D7EC35">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9211616">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020F4CE3">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54F97948">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1A285D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556AC26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75D4548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2301A3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5E6A318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7898703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6BFD9F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07B6DD1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228EC6D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F4AB0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E2604E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A83F38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54AAF94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向人民法院提起诉讼</w:t>
      </w:r>
    </w:p>
    <w:p w14:paraId="17885B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36BFD6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2A3DFA8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5188A2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66DA41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13E52E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69A822A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49DDE58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6409640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4388A1A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4F22A1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6B1EE2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7DE2C8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32A30A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6052B5E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4D35F06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08C4CA3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1ED35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4BED5224">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03268DD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2B33129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32D7D7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2B9423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2EA660A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51057FB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663D49DC">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415F315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70D7C462">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08FF919A">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3E0D3DF9">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FC609CA">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响应文件必须装订成册密封递交，其中报价表、分项报价表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6C56A670">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13778676">
      <w:pPr>
        <w:pStyle w:val="5"/>
        <w:pageBreakBefore w:val="0"/>
        <w:kinsoku/>
        <w:overflowPunct/>
        <w:topLinePunct w:val="0"/>
        <w:bidi w:val="0"/>
        <w:spacing w:line="594" w:lineRule="exact"/>
        <w:rPr>
          <w:rFonts w:hint="eastAsia"/>
          <w:color w:val="auto"/>
        </w:rPr>
      </w:pPr>
    </w:p>
    <w:p w14:paraId="3F035BA6">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443E0AF">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541EDF0F">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008C2E8">
      <w:pPr>
        <w:pStyle w:val="18"/>
        <w:pageBreakBefore w:val="0"/>
        <w:kinsoku/>
        <w:overflowPunct/>
        <w:topLinePunct w:val="0"/>
        <w:bidi w:val="0"/>
        <w:spacing w:line="594" w:lineRule="exact"/>
        <w:rPr>
          <w:rFonts w:hint="eastAsia"/>
          <w:color w:val="auto"/>
          <w:lang w:eastAsia="zh-CN"/>
        </w:rPr>
      </w:pPr>
    </w:p>
    <w:p w14:paraId="7CB8B2EA">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6A295372">
      <w:pPr>
        <w:pStyle w:val="18"/>
        <w:pageBreakBefore w:val="0"/>
        <w:kinsoku/>
        <w:overflowPunct/>
        <w:topLinePunct w:val="0"/>
        <w:bidi w:val="0"/>
        <w:spacing w:line="594" w:lineRule="exact"/>
        <w:rPr>
          <w:rFonts w:hint="eastAsia"/>
          <w:color w:val="auto"/>
          <w:lang w:eastAsia="zh-CN"/>
        </w:rPr>
      </w:pPr>
    </w:p>
    <w:p w14:paraId="196127F4">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2026年度医疗责任保险服务采购项目</w:t>
      </w:r>
    </w:p>
    <w:p w14:paraId="589C1AE7">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8142437">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HNTJRY-TJ2026-004</w:t>
      </w:r>
    </w:p>
    <w:p w14:paraId="1998EFAE">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7CEAA2C9">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29D32DEE">
      <w:pPr>
        <w:pStyle w:val="18"/>
        <w:pageBreakBefore w:val="0"/>
        <w:kinsoku/>
        <w:overflowPunct/>
        <w:topLinePunct w:val="0"/>
        <w:bidi w:val="0"/>
        <w:spacing w:line="594" w:lineRule="exact"/>
        <w:ind w:left="0" w:leftChars="0" w:firstLine="0" w:firstLineChars="0"/>
        <w:rPr>
          <w:rFonts w:hint="eastAsia"/>
          <w:color w:val="auto"/>
          <w:lang w:eastAsia="zh-CN"/>
        </w:rPr>
      </w:pPr>
    </w:p>
    <w:p w14:paraId="0270C066">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1A912B7E">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7A7D3AA8">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47DB18D1">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391C27ED">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4E0B208D">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574654D8">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7FDF32E">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0B00467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1628D493">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E43445C">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7ACD3FF9">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75222D9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48F68C4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7652D89E">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367F79AA">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2E5B7EDC">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26CCC9EB">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462AD80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4B80DDA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31FBDB9">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618404F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535FAE5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42C9ABF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55B097D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74050A4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7F30775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6CEDEE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04584CB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97C71F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5DA85B6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174A0B5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76AF7976">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4A728E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5FD6D18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03FFDB2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240360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20773429">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48CF5CA3">
      <w:pPr>
        <w:pStyle w:val="11"/>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04115EF9">
      <w:pPr>
        <w:pStyle w:val="11"/>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E867D7D">
      <w:pPr>
        <w:pStyle w:val="11"/>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69DD489">
      <w:pPr>
        <w:pStyle w:val="11"/>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4AD99D9">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1EB30CF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327A9DDD">
      <w:pPr>
        <w:rPr>
          <w:rFonts w:hint="eastAsia"/>
          <w:color w:val="auto"/>
        </w:rPr>
      </w:pPr>
    </w:p>
    <w:p w14:paraId="28D270CD">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2C218F5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783E6D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78873E9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4131B603">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615433FF">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6FB8F5B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3B50DE04">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33559369">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15260A3">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5E129ADD">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3C0360CF">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0D38BCA9">
      <w:pPr>
        <w:pageBreakBefore w:val="0"/>
        <w:kinsoku/>
        <w:overflowPunct/>
        <w:topLinePunct w:val="0"/>
        <w:bidi w:val="0"/>
        <w:spacing w:line="594" w:lineRule="exact"/>
        <w:rPr>
          <w:rFonts w:hint="eastAsia"/>
          <w:color w:val="auto"/>
        </w:rPr>
      </w:pPr>
      <w:r>
        <w:rPr>
          <w:rFonts w:hint="eastAsia"/>
          <w:color w:val="auto"/>
        </w:rPr>
        <w:t xml:space="preserve">  </w:t>
      </w:r>
    </w:p>
    <w:p w14:paraId="5F40BAFF">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3E5D7DE8">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12DA10D6">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396F17D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134D51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725A955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7692F05">
      <w:pPr>
        <w:pStyle w:val="11"/>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00FFF9E1">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43F9591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CEAB3B7">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77C7C865">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3CB4843A">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5CE6FAC4">
      <w:pPr>
        <w:rPr>
          <w:rFonts w:hint="eastAsia"/>
          <w:color w:val="auto"/>
        </w:rPr>
      </w:pPr>
    </w:p>
    <w:p w14:paraId="08798F8D">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08F46E1">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4D44AAF">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6C47A086">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4C90EAD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BE8F3B4">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1AAD5E34">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42A6D1BE">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4235FC74">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386C8B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3E7C04A5">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2FABDA02">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94D574A">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3C7E97B5">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126096F3">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601F27E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CE0029D">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2140EF8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7137216">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161E8BB7">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50304226">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DF37742">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F4F3397">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76EAF4FC">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9811075">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24DF8673">
      <w:pPr>
        <w:pStyle w:val="18"/>
        <w:pageBreakBefore w:val="0"/>
        <w:kinsoku/>
        <w:overflowPunct/>
        <w:topLinePunct w:val="0"/>
        <w:bidi w:val="0"/>
        <w:spacing w:line="594" w:lineRule="exact"/>
        <w:rPr>
          <w:rFonts w:hint="eastAsia" w:ascii="宋体"/>
          <w:b/>
          <w:bCs/>
          <w:color w:val="auto"/>
        </w:rPr>
      </w:pPr>
    </w:p>
    <w:p w14:paraId="11B86E70">
      <w:pPr>
        <w:pStyle w:val="5"/>
        <w:pageBreakBefore w:val="0"/>
        <w:kinsoku/>
        <w:overflowPunct/>
        <w:topLinePunct w:val="0"/>
        <w:bidi w:val="0"/>
        <w:spacing w:line="594" w:lineRule="exact"/>
        <w:rPr>
          <w:rFonts w:hint="eastAsia" w:ascii="宋体"/>
          <w:b/>
          <w:bCs/>
          <w:color w:val="auto"/>
        </w:rPr>
      </w:pPr>
    </w:p>
    <w:p w14:paraId="439E4BEC">
      <w:pPr>
        <w:pStyle w:val="22"/>
        <w:pageBreakBefore w:val="0"/>
        <w:kinsoku/>
        <w:overflowPunct/>
        <w:topLinePunct w:val="0"/>
        <w:bidi w:val="0"/>
        <w:spacing w:line="594" w:lineRule="exact"/>
        <w:rPr>
          <w:rFonts w:hint="eastAsia" w:ascii="宋体"/>
          <w:b/>
          <w:bCs/>
          <w:color w:val="auto"/>
        </w:rPr>
      </w:pPr>
    </w:p>
    <w:p w14:paraId="450502C4">
      <w:pPr>
        <w:pStyle w:val="22"/>
        <w:pageBreakBefore w:val="0"/>
        <w:kinsoku/>
        <w:overflowPunct/>
        <w:topLinePunct w:val="0"/>
        <w:bidi w:val="0"/>
        <w:spacing w:line="594" w:lineRule="exact"/>
        <w:rPr>
          <w:rFonts w:hint="eastAsia" w:ascii="宋体"/>
          <w:b/>
          <w:bCs/>
          <w:color w:val="auto"/>
        </w:rPr>
      </w:pPr>
    </w:p>
    <w:p w14:paraId="5C14E5AB">
      <w:pPr>
        <w:pStyle w:val="22"/>
        <w:pageBreakBefore w:val="0"/>
        <w:kinsoku/>
        <w:overflowPunct/>
        <w:topLinePunct w:val="0"/>
        <w:bidi w:val="0"/>
        <w:spacing w:line="594" w:lineRule="exact"/>
        <w:rPr>
          <w:rFonts w:hint="eastAsia" w:ascii="宋体"/>
          <w:b/>
          <w:bCs/>
          <w:color w:val="auto"/>
        </w:rPr>
      </w:pPr>
    </w:p>
    <w:p w14:paraId="782BFE50">
      <w:pPr>
        <w:pStyle w:val="22"/>
        <w:pageBreakBefore w:val="0"/>
        <w:kinsoku/>
        <w:overflowPunct/>
        <w:topLinePunct w:val="0"/>
        <w:bidi w:val="0"/>
        <w:spacing w:line="594" w:lineRule="exact"/>
        <w:rPr>
          <w:rFonts w:hint="eastAsia" w:ascii="宋体"/>
          <w:b/>
          <w:bCs/>
          <w:color w:val="auto"/>
        </w:rPr>
      </w:pPr>
    </w:p>
    <w:p w14:paraId="02E788D5">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5898D45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28EC6C97">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570ABEF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2F89C7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660298C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384064B8">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0D3C029C">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197E0652">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30F1F31F">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0CD797CB">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7F1D864A">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5DC610E9">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3C9B94CF">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A9720D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2E79572">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634078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1417C87E">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1C292055">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37A23ED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2ED5E4E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14C0D1EF">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48C6BD0F">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56EADA5B">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6A00F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43254827">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6F922365">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p>
        </w:tc>
      </w:tr>
      <w:tr w14:paraId="38ABE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2CE09DB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采购项目</w:t>
            </w:r>
          </w:p>
          <w:p w14:paraId="28B00621">
            <w:pPr>
              <w:pageBreakBefore w:val="0"/>
              <w:kinsoku/>
              <w:overflowPunct/>
              <w:topLinePunct w:val="0"/>
              <w:bidi w:val="0"/>
              <w:spacing w:line="594" w:lineRule="exact"/>
              <w:jc w:val="center"/>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8C4502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p>
        </w:tc>
        <w:tc>
          <w:tcPr>
            <w:tcW w:w="1605" w:type="dxa"/>
            <w:tcBorders>
              <w:top w:val="double" w:color="auto" w:sz="4" w:space="0"/>
              <w:left w:val="single" w:color="auto" w:sz="6" w:space="0"/>
              <w:right w:val="single" w:color="auto" w:sz="6" w:space="0"/>
            </w:tcBorders>
            <w:noWrap w:val="0"/>
            <w:vAlign w:val="center"/>
          </w:tcPr>
          <w:p w14:paraId="3C7DC75B">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项目主要</w:t>
            </w:r>
          </w:p>
          <w:p w14:paraId="2062A0D5">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106F1E83">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p>
        </w:tc>
      </w:tr>
      <w:tr w14:paraId="52C4E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20" w:type="dxa"/>
            <w:tcBorders>
              <w:top w:val="single" w:color="auto" w:sz="6" w:space="0"/>
              <w:left w:val="double" w:color="auto" w:sz="4" w:space="0"/>
              <w:right w:val="single" w:color="auto" w:sz="6" w:space="0"/>
            </w:tcBorders>
            <w:noWrap w:val="0"/>
            <w:vAlign w:val="center"/>
          </w:tcPr>
          <w:p w14:paraId="53CDFEDA">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04E4397D">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大写：</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元人民币整</w:t>
            </w:r>
          </w:p>
          <w:p w14:paraId="29C1E016">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小写：</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元人民币整</w:t>
            </w:r>
          </w:p>
        </w:tc>
      </w:tr>
      <w:tr w14:paraId="43EE6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1EBBE745">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6F18A80">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val="en-US" w:eastAsia="zh-CN"/>
              </w:rPr>
            </w:pPr>
          </w:p>
        </w:tc>
      </w:tr>
    </w:tbl>
    <w:p w14:paraId="60D89C20">
      <w:pPr>
        <w:pageBreakBefore w:val="0"/>
        <w:kinsoku/>
        <w:overflowPunct/>
        <w:topLinePunct w:val="0"/>
        <w:bidi w:val="0"/>
        <w:spacing w:line="594" w:lineRule="exact"/>
        <w:rPr>
          <w:rFonts w:hint="eastAsia" w:ascii="宋体" w:hAnsi="宋体"/>
          <w:color w:val="auto"/>
          <w:sz w:val="28"/>
          <w:szCs w:val="28"/>
        </w:rPr>
      </w:pPr>
      <w:r>
        <w:rPr>
          <w:rFonts w:hint="eastAsia" w:ascii="宋体" w:hAnsi="宋体"/>
          <w:color w:val="auto"/>
          <w:sz w:val="28"/>
          <w:szCs w:val="28"/>
        </w:rPr>
        <w:t xml:space="preserve">                 </w:t>
      </w:r>
    </w:p>
    <w:p w14:paraId="11ED0946">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2DF40949">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D9D8DAC">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0211284A">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C5AEB2B">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7048017">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B3CE0D1">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418011F9">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中要求的所有内容，包括运输、税费、人工工资及采购人单位</w:t>
      </w:r>
      <w:r>
        <w:rPr>
          <w:rFonts w:hint="eastAsia" w:ascii="方正仿宋_GB2312" w:hAnsi="方正仿宋_GB2312" w:eastAsia="方正仿宋_GB2312" w:cs="方正仿宋_GB2312"/>
          <w:color w:val="auto"/>
          <w:sz w:val="28"/>
          <w:szCs w:val="28"/>
          <w:lang w:val="en-US" w:eastAsia="zh-CN"/>
        </w:rPr>
        <w:t>系统正常运营所产生</w:t>
      </w:r>
      <w:r>
        <w:rPr>
          <w:rFonts w:hint="eastAsia" w:ascii="方正仿宋_GB2312" w:hAnsi="方正仿宋_GB2312" w:eastAsia="方正仿宋_GB2312" w:cs="方正仿宋_GB2312"/>
          <w:color w:val="auto"/>
          <w:sz w:val="28"/>
          <w:szCs w:val="28"/>
        </w:rPr>
        <w:t>的所有费用，不另计费)；</w:t>
      </w:r>
    </w:p>
    <w:p w14:paraId="0CEE2D2D">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25" w:name="_Toc396919502"/>
      <w:bookmarkEnd w:id="25"/>
    </w:p>
    <w:p w14:paraId="2C4A8C8F">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6E38D517">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12F9A2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4D7CAD9E">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78090986">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38356EAC">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功能/服务</w:t>
            </w:r>
          </w:p>
          <w:p w14:paraId="4BE22C3E">
            <w:pPr>
              <w:pageBreakBefore w:val="0"/>
              <w:kinsoku/>
              <w:overflowPunct/>
              <w:topLinePunct w:val="0"/>
              <w:bidi w:val="0"/>
              <w:spacing w:line="594" w:lineRule="exact"/>
              <w:jc w:val="center"/>
              <w:rPr>
                <w:rFonts w:hint="eastAsia"/>
                <w:color w:val="auto"/>
              </w:rPr>
            </w:pPr>
            <w:r>
              <w:rPr>
                <w:rFonts w:hint="eastAsia"/>
                <w:color w:val="auto"/>
                <w:lang w:val="en-US" w:eastAsia="zh-CN"/>
              </w:rPr>
              <w:t>说明</w:t>
            </w:r>
          </w:p>
        </w:tc>
        <w:tc>
          <w:tcPr>
            <w:tcW w:w="735" w:type="dxa"/>
            <w:vMerge w:val="restart"/>
            <w:vAlign w:val="center"/>
          </w:tcPr>
          <w:p w14:paraId="22721B06">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659A18F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6486920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38182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6CDD5828">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15D5E70E">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1E98F196">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7B6093F5">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444E3FB4">
            <w:pPr>
              <w:pageBreakBefore w:val="0"/>
              <w:kinsoku/>
              <w:overflowPunct/>
              <w:topLinePunct w:val="0"/>
              <w:bidi w:val="0"/>
              <w:spacing w:line="594" w:lineRule="exact"/>
              <w:jc w:val="center"/>
              <w:rPr>
                <w:rFonts w:hint="eastAsia"/>
                <w:color w:val="auto"/>
              </w:rPr>
            </w:pPr>
          </w:p>
        </w:tc>
        <w:tc>
          <w:tcPr>
            <w:tcW w:w="1065" w:type="dxa"/>
            <w:vAlign w:val="center"/>
          </w:tcPr>
          <w:p w14:paraId="67CA919F">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59E4B79">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25425F5E">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46BB870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24527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CA150F2">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4A60C14B">
            <w:pPr>
              <w:pageBreakBefore w:val="0"/>
              <w:kinsoku/>
              <w:overflowPunct/>
              <w:topLinePunct w:val="0"/>
              <w:bidi w:val="0"/>
              <w:spacing w:line="594" w:lineRule="exact"/>
              <w:jc w:val="center"/>
              <w:rPr>
                <w:rFonts w:hint="eastAsia"/>
                <w:color w:val="auto"/>
              </w:rPr>
            </w:pPr>
          </w:p>
        </w:tc>
        <w:tc>
          <w:tcPr>
            <w:tcW w:w="2610" w:type="dxa"/>
            <w:vAlign w:val="center"/>
          </w:tcPr>
          <w:p w14:paraId="4A5946CF">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2DAE8693">
            <w:pPr>
              <w:pageBreakBefore w:val="0"/>
              <w:kinsoku/>
              <w:overflowPunct/>
              <w:topLinePunct w:val="0"/>
              <w:bidi w:val="0"/>
              <w:spacing w:line="594" w:lineRule="exact"/>
              <w:jc w:val="center"/>
              <w:rPr>
                <w:rFonts w:hint="eastAsia"/>
                <w:color w:val="auto"/>
              </w:rPr>
            </w:pPr>
          </w:p>
        </w:tc>
        <w:tc>
          <w:tcPr>
            <w:tcW w:w="735" w:type="dxa"/>
            <w:vAlign w:val="center"/>
          </w:tcPr>
          <w:p w14:paraId="783A4A13">
            <w:pPr>
              <w:pageBreakBefore w:val="0"/>
              <w:kinsoku/>
              <w:overflowPunct/>
              <w:topLinePunct w:val="0"/>
              <w:bidi w:val="0"/>
              <w:spacing w:line="594" w:lineRule="exact"/>
              <w:jc w:val="center"/>
              <w:rPr>
                <w:rFonts w:hint="eastAsia"/>
                <w:color w:val="auto"/>
              </w:rPr>
            </w:pPr>
          </w:p>
        </w:tc>
        <w:tc>
          <w:tcPr>
            <w:tcW w:w="1065" w:type="dxa"/>
            <w:vAlign w:val="center"/>
          </w:tcPr>
          <w:p w14:paraId="39F99CDE">
            <w:pPr>
              <w:pageBreakBefore w:val="0"/>
              <w:kinsoku/>
              <w:overflowPunct/>
              <w:topLinePunct w:val="0"/>
              <w:bidi w:val="0"/>
              <w:spacing w:line="594" w:lineRule="exact"/>
              <w:jc w:val="center"/>
              <w:rPr>
                <w:rFonts w:hint="eastAsia"/>
                <w:color w:val="auto"/>
              </w:rPr>
            </w:pPr>
          </w:p>
        </w:tc>
        <w:tc>
          <w:tcPr>
            <w:tcW w:w="1287" w:type="dxa"/>
            <w:vAlign w:val="center"/>
          </w:tcPr>
          <w:p w14:paraId="18A7C30F">
            <w:pPr>
              <w:pageBreakBefore w:val="0"/>
              <w:kinsoku/>
              <w:overflowPunct/>
              <w:topLinePunct w:val="0"/>
              <w:bidi w:val="0"/>
              <w:spacing w:line="594" w:lineRule="exact"/>
              <w:jc w:val="center"/>
              <w:rPr>
                <w:rFonts w:hint="eastAsia"/>
                <w:color w:val="auto"/>
              </w:rPr>
            </w:pPr>
          </w:p>
        </w:tc>
      </w:tr>
      <w:tr w14:paraId="180D2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2618376">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03EB1F4A">
            <w:pPr>
              <w:pageBreakBefore w:val="0"/>
              <w:kinsoku/>
              <w:overflowPunct/>
              <w:topLinePunct w:val="0"/>
              <w:bidi w:val="0"/>
              <w:spacing w:line="594" w:lineRule="exact"/>
              <w:jc w:val="center"/>
              <w:rPr>
                <w:rFonts w:hint="eastAsia"/>
                <w:color w:val="auto"/>
              </w:rPr>
            </w:pPr>
          </w:p>
        </w:tc>
        <w:tc>
          <w:tcPr>
            <w:tcW w:w="2610" w:type="dxa"/>
            <w:vAlign w:val="center"/>
          </w:tcPr>
          <w:p w14:paraId="75DE8585">
            <w:pPr>
              <w:pageBreakBefore w:val="0"/>
              <w:kinsoku/>
              <w:overflowPunct/>
              <w:topLinePunct w:val="0"/>
              <w:bidi w:val="0"/>
              <w:spacing w:line="594" w:lineRule="exact"/>
              <w:jc w:val="center"/>
              <w:rPr>
                <w:rFonts w:hint="eastAsia"/>
                <w:color w:val="auto"/>
              </w:rPr>
            </w:pPr>
          </w:p>
        </w:tc>
        <w:tc>
          <w:tcPr>
            <w:tcW w:w="735" w:type="dxa"/>
            <w:vAlign w:val="center"/>
          </w:tcPr>
          <w:p w14:paraId="64BAAA18">
            <w:pPr>
              <w:pageBreakBefore w:val="0"/>
              <w:kinsoku/>
              <w:overflowPunct/>
              <w:topLinePunct w:val="0"/>
              <w:bidi w:val="0"/>
              <w:spacing w:line="594" w:lineRule="exact"/>
              <w:jc w:val="center"/>
              <w:rPr>
                <w:rFonts w:hint="eastAsia"/>
                <w:color w:val="auto"/>
              </w:rPr>
            </w:pPr>
          </w:p>
        </w:tc>
        <w:tc>
          <w:tcPr>
            <w:tcW w:w="735" w:type="dxa"/>
            <w:vAlign w:val="center"/>
          </w:tcPr>
          <w:p w14:paraId="7360F022">
            <w:pPr>
              <w:pageBreakBefore w:val="0"/>
              <w:kinsoku/>
              <w:overflowPunct/>
              <w:topLinePunct w:val="0"/>
              <w:bidi w:val="0"/>
              <w:spacing w:line="594" w:lineRule="exact"/>
              <w:jc w:val="center"/>
              <w:rPr>
                <w:rFonts w:hint="eastAsia"/>
                <w:color w:val="auto"/>
              </w:rPr>
            </w:pPr>
          </w:p>
        </w:tc>
        <w:tc>
          <w:tcPr>
            <w:tcW w:w="1065" w:type="dxa"/>
            <w:vAlign w:val="center"/>
          </w:tcPr>
          <w:p w14:paraId="5D08761D">
            <w:pPr>
              <w:pageBreakBefore w:val="0"/>
              <w:kinsoku/>
              <w:overflowPunct/>
              <w:topLinePunct w:val="0"/>
              <w:bidi w:val="0"/>
              <w:spacing w:line="594" w:lineRule="exact"/>
              <w:jc w:val="center"/>
              <w:rPr>
                <w:rFonts w:hint="eastAsia"/>
                <w:color w:val="auto"/>
              </w:rPr>
            </w:pPr>
          </w:p>
        </w:tc>
        <w:tc>
          <w:tcPr>
            <w:tcW w:w="1287" w:type="dxa"/>
            <w:vAlign w:val="center"/>
          </w:tcPr>
          <w:p w14:paraId="37F3FAE3">
            <w:pPr>
              <w:pageBreakBefore w:val="0"/>
              <w:kinsoku/>
              <w:overflowPunct/>
              <w:topLinePunct w:val="0"/>
              <w:bidi w:val="0"/>
              <w:spacing w:line="594" w:lineRule="exact"/>
              <w:jc w:val="center"/>
              <w:rPr>
                <w:rFonts w:hint="eastAsia"/>
                <w:color w:val="auto"/>
              </w:rPr>
            </w:pPr>
          </w:p>
        </w:tc>
      </w:tr>
      <w:tr w14:paraId="38A32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18D4F6A">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3F16D7FA">
            <w:pPr>
              <w:pageBreakBefore w:val="0"/>
              <w:kinsoku/>
              <w:overflowPunct/>
              <w:topLinePunct w:val="0"/>
              <w:bidi w:val="0"/>
              <w:spacing w:line="594" w:lineRule="exact"/>
              <w:jc w:val="center"/>
              <w:rPr>
                <w:rFonts w:hint="eastAsia"/>
                <w:color w:val="auto"/>
              </w:rPr>
            </w:pPr>
          </w:p>
        </w:tc>
        <w:tc>
          <w:tcPr>
            <w:tcW w:w="2610" w:type="dxa"/>
            <w:vAlign w:val="center"/>
          </w:tcPr>
          <w:p w14:paraId="7B40A78A">
            <w:pPr>
              <w:pageBreakBefore w:val="0"/>
              <w:kinsoku/>
              <w:overflowPunct/>
              <w:topLinePunct w:val="0"/>
              <w:bidi w:val="0"/>
              <w:spacing w:line="594" w:lineRule="exact"/>
              <w:jc w:val="center"/>
              <w:rPr>
                <w:rFonts w:hint="eastAsia"/>
                <w:color w:val="auto"/>
              </w:rPr>
            </w:pPr>
          </w:p>
        </w:tc>
        <w:tc>
          <w:tcPr>
            <w:tcW w:w="735" w:type="dxa"/>
            <w:vAlign w:val="center"/>
          </w:tcPr>
          <w:p w14:paraId="45D6C430">
            <w:pPr>
              <w:pageBreakBefore w:val="0"/>
              <w:kinsoku/>
              <w:overflowPunct/>
              <w:topLinePunct w:val="0"/>
              <w:bidi w:val="0"/>
              <w:spacing w:line="594" w:lineRule="exact"/>
              <w:jc w:val="center"/>
              <w:rPr>
                <w:rFonts w:hint="eastAsia"/>
                <w:color w:val="auto"/>
              </w:rPr>
            </w:pPr>
          </w:p>
        </w:tc>
        <w:tc>
          <w:tcPr>
            <w:tcW w:w="735" w:type="dxa"/>
            <w:vAlign w:val="center"/>
          </w:tcPr>
          <w:p w14:paraId="21D40F4D">
            <w:pPr>
              <w:pageBreakBefore w:val="0"/>
              <w:kinsoku/>
              <w:overflowPunct/>
              <w:topLinePunct w:val="0"/>
              <w:bidi w:val="0"/>
              <w:spacing w:line="594" w:lineRule="exact"/>
              <w:jc w:val="center"/>
              <w:rPr>
                <w:rFonts w:hint="eastAsia"/>
                <w:color w:val="auto"/>
              </w:rPr>
            </w:pPr>
          </w:p>
        </w:tc>
        <w:tc>
          <w:tcPr>
            <w:tcW w:w="1065" w:type="dxa"/>
            <w:vAlign w:val="center"/>
          </w:tcPr>
          <w:p w14:paraId="72914F5D">
            <w:pPr>
              <w:pageBreakBefore w:val="0"/>
              <w:kinsoku/>
              <w:overflowPunct/>
              <w:topLinePunct w:val="0"/>
              <w:bidi w:val="0"/>
              <w:spacing w:line="594" w:lineRule="exact"/>
              <w:jc w:val="center"/>
              <w:rPr>
                <w:rFonts w:hint="eastAsia"/>
                <w:color w:val="auto"/>
              </w:rPr>
            </w:pPr>
          </w:p>
        </w:tc>
        <w:tc>
          <w:tcPr>
            <w:tcW w:w="1287" w:type="dxa"/>
            <w:vAlign w:val="center"/>
          </w:tcPr>
          <w:p w14:paraId="3B158E7F">
            <w:pPr>
              <w:pageBreakBefore w:val="0"/>
              <w:kinsoku/>
              <w:overflowPunct/>
              <w:topLinePunct w:val="0"/>
              <w:bidi w:val="0"/>
              <w:spacing w:line="594" w:lineRule="exact"/>
              <w:jc w:val="center"/>
              <w:rPr>
                <w:rFonts w:hint="eastAsia"/>
                <w:color w:val="auto"/>
              </w:rPr>
            </w:pPr>
          </w:p>
        </w:tc>
      </w:tr>
      <w:tr w14:paraId="200EB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49AE4D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45A0CAF6">
            <w:pPr>
              <w:pageBreakBefore w:val="0"/>
              <w:kinsoku/>
              <w:overflowPunct/>
              <w:topLinePunct w:val="0"/>
              <w:bidi w:val="0"/>
              <w:spacing w:line="594" w:lineRule="exact"/>
              <w:jc w:val="center"/>
              <w:rPr>
                <w:color w:val="auto"/>
              </w:rPr>
            </w:pPr>
          </w:p>
        </w:tc>
      </w:tr>
    </w:tbl>
    <w:p w14:paraId="2977CBA6">
      <w:pPr>
        <w:pageBreakBefore w:val="0"/>
        <w:kinsoku/>
        <w:overflowPunct/>
        <w:topLinePunct w:val="0"/>
        <w:bidi w:val="0"/>
        <w:spacing w:line="594" w:lineRule="exact"/>
        <w:rPr>
          <w:rFonts w:hint="eastAsia" w:ascii="黑体" w:hAnsi="黑体" w:eastAsia="黑体" w:cs="黑体"/>
          <w:b/>
          <w:bCs/>
          <w:color w:val="auto"/>
        </w:rPr>
      </w:pPr>
    </w:p>
    <w:p w14:paraId="2CB125F1">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1A77BD3F">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5621D4E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.如果开标一览表内容与本表内容不一致的，以开标一览表内容为准。</w:t>
      </w:r>
    </w:p>
    <w:p w14:paraId="093D4613">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2E3A92AB">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6E5B6823">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1A3B2596">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0E9A8D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31F7657">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68C361AA">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6"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6"/>
    </w:p>
    <w:p w14:paraId="21A2A62E">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2808024E">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53E06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666560E3">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1DA9D06C">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710182C">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6B5A4F5A">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15C52EBA">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613EC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BFA3FDA">
            <w:pPr>
              <w:pageBreakBefore w:val="0"/>
              <w:kinsoku/>
              <w:overflowPunct/>
              <w:topLinePunct w:val="0"/>
              <w:bidi w:val="0"/>
              <w:spacing w:line="594" w:lineRule="exact"/>
              <w:jc w:val="center"/>
              <w:rPr>
                <w:color w:val="auto"/>
              </w:rPr>
            </w:pPr>
          </w:p>
        </w:tc>
        <w:tc>
          <w:tcPr>
            <w:tcW w:w="2713" w:type="dxa"/>
            <w:vAlign w:val="center"/>
          </w:tcPr>
          <w:p w14:paraId="11393570">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5228699B">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2E244E75">
            <w:pPr>
              <w:pageBreakBefore w:val="0"/>
              <w:kinsoku/>
              <w:overflowPunct/>
              <w:topLinePunct w:val="0"/>
              <w:bidi w:val="0"/>
              <w:spacing w:line="594" w:lineRule="exact"/>
              <w:jc w:val="center"/>
              <w:rPr>
                <w:color w:val="auto"/>
              </w:rPr>
            </w:pPr>
          </w:p>
        </w:tc>
        <w:tc>
          <w:tcPr>
            <w:tcW w:w="1589" w:type="dxa"/>
            <w:vAlign w:val="center"/>
          </w:tcPr>
          <w:p w14:paraId="0DC15258">
            <w:pPr>
              <w:pageBreakBefore w:val="0"/>
              <w:kinsoku/>
              <w:overflowPunct/>
              <w:topLinePunct w:val="0"/>
              <w:bidi w:val="0"/>
              <w:spacing w:line="594" w:lineRule="exact"/>
              <w:jc w:val="center"/>
              <w:rPr>
                <w:color w:val="auto"/>
              </w:rPr>
            </w:pPr>
          </w:p>
        </w:tc>
      </w:tr>
      <w:tr w14:paraId="43CAE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987C07A">
            <w:pPr>
              <w:pageBreakBefore w:val="0"/>
              <w:kinsoku/>
              <w:overflowPunct/>
              <w:topLinePunct w:val="0"/>
              <w:bidi w:val="0"/>
              <w:spacing w:line="594" w:lineRule="exact"/>
              <w:jc w:val="center"/>
              <w:rPr>
                <w:color w:val="auto"/>
              </w:rPr>
            </w:pPr>
          </w:p>
        </w:tc>
        <w:tc>
          <w:tcPr>
            <w:tcW w:w="2713" w:type="dxa"/>
            <w:vAlign w:val="center"/>
          </w:tcPr>
          <w:p w14:paraId="2E143292">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2892BE9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6F1354EC">
            <w:pPr>
              <w:pageBreakBefore w:val="0"/>
              <w:kinsoku/>
              <w:overflowPunct/>
              <w:topLinePunct w:val="0"/>
              <w:bidi w:val="0"/>
              <w:spacing w:line="594" w:lineRule="exact"/>
              <w:jc w:val="center"/>
              <w:rPr>
                <w:color w:val="auto"/>
              </w:rPr>
            </w:pPr>
          </w:p>
        </w:tc>
        <w:tc>
          <w:tcPr>
            <w:tcW w:w="1589" w:type="dxa"/>
            <w:vAlign w:val="center"/>
          </w:tcPr>
          <w:p w14:paraId="20C4CACE">
            <w:pPr>
              <w:pageBreakBefore w:val="0"/>
              <w:kinsoku/>
              <w:overflowPunct/>
              <w:topLinePunct w:val="0"/>
              <w:bidi w:val="0"/>
              <w:spacing w:line="594" w:lineRule="exact"/>
              <w:jc w:val="center"/>
              <w:rPr>
                <w:color w:val="auto"/>
              </w:rPr>
            </w:pPr>
          </w:p>
        </w:tc>
      </w:tr>
      <w:tr w14:paraId="3EA76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E376D4D">
            <w:pPr>
              <w:pageBreakBefore w:val="0"/>
              <w:kinsoku/>
              <w:overflowPunct/>
              <w:topLinePunct w:val="0"/>
              <w:bidi w:val="0"/>
              <w:spacing w:line="594" w:lineRule="exact"/>
              <w:jc w:val="center"/>
              <w:rPr>
                <w:color w:val="auto"/>
              </w:rPr>
            </w:pPr>
          </w:p>
        </w:tc>
        <w:tc>
          <w:tcPr>
            <w:tcW w:w="2713" w:type="dxa"/>
            <w:vAlign w:val="center"/>
          </w:tcPr>
          <w:p w14:paraId="2338FB0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2A1DB6F2">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2B37091A">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03AF6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89C929">
            <w:pPr>
              <w:pageBreakBefore w:val="0"/>
              <w:kinsoku/>
              <w:overflowPunct/>
              <w:topLinePunct w:val="0"/>
              <w:bidi w:val="0"/>
              <w:spacing w:line="594" w:lineRule="exact"/>
              <w:jc w:val="center"/>
              <w:rPr>
                <w:color w:val="auto"/>
              </w:rPr>
            </w:pPr>
          </w:p>
        </w:tc>
        <w:tc>
          <w:tcPr>
            <w:tcW w:w="2713" w:type="dxa"/>
            <w:vAlign w:val="center"/>
          </w:tcPr>
          <w:p w14:paraId="10AAC36B">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2ED339DB">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C3ED3AA">
            <w:pPr>
              <w:pageBreakBefore w:val="0"/>
              <w:kinsoku/>
              <w:overflowPunct/>
              <w:topLinePunct w:val="0"/>
              <w:bidi w:val="0"/>
              <w:spacing w:line="594" w:lineRule="exact"/>
              <w:jc w:val="center"/>
              <w:rPr>
                <w:color w:val="auto"/>
              </w:rPr>
            </w:pPr>
          </w:p>
        </w:tc>
      </w:tr>
    </w:tbl>
    <w:p w14:paraId="1835BDB7">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5DB88CEF">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1E1FF62D">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4641328D">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bookmarkStart w:id="27" w:name="_GoBack"/>
      <w:bookmarkEnd w:id="27"/>
    </w:p>
    <w:p w14:paraId="254D0C79">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2446B5B5">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14DCCF7E">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72857517">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2C1DCC2F">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13CEDD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根据投标人针对本项目的执行方案（包括但不限于项目实施方案、质量保障方案、承诺函等）进行提供，格式自拟。</w:t>
      </w:r>
    </w:p>
    <w:p w14:paraId="19A415E5">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EE5FC66">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7BFE554B">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同类业绩 ……… 并加以标注。</w:t>
      </w:r>
    </w:p>
    <w:p w14:paraId="23F9EC01">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6E83910">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85B0525">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D3A2A17">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D637687">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57346940">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B032349">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6B445513">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CBA5976">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A97459-6DF5-4939-8108-CA9A998E98E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4976C86-4785-47AA-9D63-DA48B90959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2242BE66-460A-44C7-9E18-C5E9C9D5AEC9}"/>
  </w:font>
  <w:font w:name="方正楷体_GB2312">
    <w:panose1 w:val="02000000000000000000"/>
    <w:charset w:val="86"/>
    <w:family w:val="auto"/>
    <w:pitch w:val="default"/>
    <w:sig w:usb0="A00002BF" w:usb1="184F6CFA" w:usb2="00000012" w:usb3="00000000" w:csb0="00040001" w:csb1="00000000"/>
    <w:embedRegular r:id="rId4" w:fontKey="{9C906B0E-4AF3-40FC-B67F-DDA5794B1545}"/>
  </w:font>
  <w:font w:name="方正仿宋_GB2312">
    <w:panose1 w:val="02000000000000000000"/>
    <w:charset w:val="86"/>
    <w:family w:val="auto"/>
    <w:pitch w:val="default"/>
    <w:sig w:usb0="A00002BF" w:usb1="184F6CFA" w:usb2="00000012" w:usb3="00000000" w:csb0="00040001" w:csb1="00000000"/>
    <w:embedRegular r:id="rId5" w:fontKey="{91718FAE-B020-401A-AB80-8A69309E94D1}"/>
  </w:font>
  <w:font w:name="仿宋_GB2312">
    <w:panose1 w:val="02010609030101010101"/>
    <w:charset w:val="86"/>
    <w:family w:val="auto"/>
    <w:pitch w:val="default"/>
    <w:sig w:usb0="00000001" w:usb1="080E0000" w:usb2="00000000" w:usb3="00000000" w:csb0="00040000" w:csb1="00000000"/>
    <w:embedRegular r:id="rId6" w:fontKey="{4C280F3F-978C-4D21-B469-7ED9F5343A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5C8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51F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BC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CBC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FB81">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37C12FE"/>
    <w:rsid w:val="04397AEC"/>
    <w:rsid w:val="04A20C84"/>
    <w:rsid w:val="052851DF"/>
    <w:rsid w:val="06072398"/>
    <w:rsid w:val="06F93E92"/>
    <w:rsid w:val="082E26DE"/>
    <w:rsid w:val="0BA96AD9"/>
    <w:rsid w:val="0BC35DFF"/>
    <w:rsid w:val="0BF702D5"/>
    <w:rsid w:val="0D270E19"/>
    <w:rsid w:val="0E127F0B"/>
    <w:rsid w:val="0E504C44"/>
    <w:rsid w:val="0E663380"/>
    <w:rsid w:val="119F484E"/>
    <w:rsid w:val="13741F37"/>
    <w:rsid w:val="147F1FCF"/>
    <w:rsid w:val="154452C7"/>
    <w:rsid w:val="15C54C54"/>
    <w:rsid w:val="160E6919"/>
    <w:rsid w:val="16C1151A"/>
    <w:rsid w:val="16F2652A"/>
    <w:rsid w:val="171D5043"/>
    <w:rsid w:val="174F244F"/>
    <w:rsid w:val="17EC189A"/>
    <w:rsid w:val="188B2D40"/>
    <w:rsid w:val="18DC41C7"/>
    <w:rsid w:val="1A592602"/>
    <w:rsid w:val="1A960F3D"/>
    <w:rsid w:val="1B0754D1"/>
    <w:rsid w:val="1B6B1CB2"/>
    <w:rsid w:val="1B9853FB"/>
    <w:rsid w:val="1BEA1453"/>
    <w:rsid w:val="1BEF65FF"/>
    <w:rsid w:val="1C071B9A"/>
    <w:rsid w:val="1D2C75DA"/>
    <w:rsid w:val="1E0F1FE5"/>
    <w:rsid w:val="1E37214D"/>
    <w:rsid w:val="1EB45FDF"/>
    <w:rsid w:val="1FB20D03"/>
    <w:rsid w:val="212963D0"/>
    <w:rsid w:val="22E44F96"/>
    <w:rsid w:val="25466B49"/>
    <w:rsid w:val="275C6D02"/>
    <w:rsid w:val="28020CF2"/>
    <w:rsid w:val="28A51344"/>
    <w:rsid w:val="299504C6"/>
    <w:rsid w:val="2B691A26"/>
    <w:rsid w:val="2B9F3B9D"/>
    <w:rsid w:val="2C2B5AF6"/>
    <w:rsid w:val="2CD1750E"/>
    <w:rsid w:val="2D021844"/>
    <w:rsid w:val="2D093573"/>
    <w:rsid w:val="2D6849AB"/>
    <w:rsid w:val="2D6E0530"/>
    <w:rsid w:val="2DED780C"/>
    <w:rsid w:val="2E140D45"/>
    <w:rsid w:val="2E823320"/>
    <w:rsid w:val="30C9273C"/>
    <w:rsid w:val="30ED7C07"/>
    <w:rsid w:val="31174CFA"/>
    <w:rsid w:val="31A43590"/>
    <w:rsid w:val="32CD30CB"/>
    <w:rsid w:val="3393449F"/>
    <w:rsid w:val="34AF5A8D"/>
    <w:rsid w:val="34DC7903"/>
    <w:rsid w:val="34EC481D"/>
    <w:rsid w:val="34FB6E74"/>
    <w:rsid w:val="350C6D28"/>
    <w:rsid w:val="355E0787"/>
    <w:rsid w:val="35BC359E"/>
    <w:rsid w:val="37A434A3"/>
    <w:rsid w:val="38546BD3"/>
    <w:rsid w:val="38B303AD"/>
    <w:rsid w:val="38F45119"/>
    <w:rsid w:val="398F308A"/>
    <w:rsid w:val="3A080B60"/>
    <w:rsid w:val="3A5655F0"/>
    <w:rsid w:val="3AA85CCA"/>
    <w:rsid w:val="3AF31A4C"/>
    <w:rsid w:val="3BC52F1E"/>
    <w:rsid w:val="3BC76989"/>
    <w:rsid w:val="3E4E2B88"/>
    <w:rsid w:val="3EBD5E03"/>
    <w:rsid w:val="3F1B12E2"/>
    <w:rsid w:val="3F871FA1"/>
    <w:rsid w:val="40381A73"/>
    <w:rsid w:val="4068554C"/>
    <w:rsid w:val="40E71D8C"/>
    <w:rsid w:val="41C66807"/>
    <w:rsid w:val="42F62F94"/>
    <w:rsid w:val="433035FF"/>
    <w:rsid w:val="43364276"/>
    <w:rsid w:val="443446F0"/>
    <w:rsid w:val="446C41C2"/>
    <w:rsid w:val="44997AB1"/>
    <w:rsid w:val="487E076F"/>
    <w:rsid w:val="489060B1"/>
    <w:rsid w:val="4D4013D7"/>
    <w:rsid w:val="4E162BA7"/>
    <w:rsid w:val="4F507A1C"/>
    <w:rsid w:val="503D16A3"/>
    <w:rsid w:val="508A2CDB"/>
    <w:rsid w:val="50914F3C"/>
    <w:rsid w:val="51EF7AC4"/>
    <w:rsid w:val="529C602F"/>
    <w:rsid w:val="534E663E"/>
    <w:rsid w:val="55D03827"/>
    <w:rsid w:val="56725887"/>
    <w:rsid w:val="585437B0"/>
    <w:rsid w:val="586D424A"/>
    <w:rsid w:val="58945FCD"/>
    <w:rsid w:val="593D6327"/>
    <w:rsid w:val="5AA85494"/>
    <w:rsid w:val="5B274F05"/>
    <w:rsid w:val="5B552247"/>
    <w:rsid w:val="5B832669"/>
    <w:rsid w:val="5BDE48EF"/>
    <w:rsid w:val="5C0C6A8B"/>
    <w:rsid w:val="5E6615F0"/>
    <w:rsid w:val="5EB35FFD"/>
    <w:rsid w:val="5F401426"/>
    <w:rsid w:val="600225BA"/>
    <w:rsid w:val="607B17DC"/>
    <w:rsid w:val="611A4366"/>
    <w:rsid w:val="623954AB"/>
    <w:rsid w:val="63F37398"/>
    <w:rsid w:val="641C6E32"/>
    <w:rsid w:val="64784CB8"/>
    <w:rsid w:val="64CC2606"/>
    <w:rsid w:val="65B80847"/>
    <w:rsid w:val="67441C75"/>
    <w:rsid w:val="686A7B49"/>
    <w:rsid w:val="695C4E5A"/>
    <w:rsid w:val="6A244627"/>
    <w:rsid w:val="6A370DA1"/>
    <w:rsid w:val="6BC36E5C"/>
    <w:rsid w:val="6CB727EE"/>
    <w:rsid w:val="6D0D7944"/>
    <w:rsid w:val="6D6D68B9"/>
    <w:rsid w:val="6E192634"/>
    <w:rsid w:val="6EF71ED3"/>
    <w:rsid w:val="6EFB3443"/>
    <w:rsid w:val="6F4A4F05"/>
    <w:rsid w:val="71E35EF7"/>
    <w:rsid w:val="72FF629D"/>
    <w:rsid w:val="73AA2F96"/>
    <w:rsid w:val="73B90901"/>
    <w:rsid w:val="73F803E7"/>
    <w:rsid w:val="742C0862"/>
    <w:rsid w:val="743A2D00"/>
    <w:rsid w:val="75251147"/>
    <w:rsid w:val="75B86625"/>
    <w:rsid w:val="761236C0"/>
    <w:rsid w:val="77C83101"/>
    <w:rsid w:val="78187914"/>
    <w:rsid w:val="79050385"/>
    <w:rsid w:val="790C67CA"/>
    <w:rsid w:val="79FE2E4C"/>
    <w:rsid w:val="7A79740E"/>
    <w:rsid w:val="7B3B008E"/>
    <w:rsid w:val="7BE41311"/>
    <w:rsid w:val="7C5F77E5"/>
    <w:rsid w:val="7C8927E1"/>
    <w:rsid w:val="7C9A1517"/>
    <w:rsid w:val="7CD85A51"/>
    <w:rsid w:val="7D825281"/>
    <w:rsid w:val="7E7F0A31"/>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28"/>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8"/>
    <w:semiHidden/>
    <w:unhideWhenUsed/>
    <w:qFormat/>
    <w:uiPriority w:val="99"/>
    <w:pPr>
      <w:spacing w:after="120"/>
    </w:pPr>
  </w:style>
  <w:style w:type="paragraph" w:styleId="8">
    <w:name w:val="toc 8"/>
    <w:basedOn w:val="1"/>
    <w:next w:val="1"/>
    <w:unhideWhenUsed/>
    <w:qFormat/>
    <w:uiPriority w:val="39"/>
    <w:pPr>
      <w:ind w:left="1470"/>
      <w:jc w:val="left"/>
    </w:pPr>
    <w:rPr>
      <w:rFonts w:cstheme="minorHAnsi"/>
      <w:sz w:val="18"/>
      <w:szCs w:val="18"/>
    </w:rPr>
  </w:style>
  <w:style w:type="paragraph" w:styleId="9">
    <w:name w:val="Body Text Indent"/>
    <w:basedOn w:val="1"/>
    <w:semiHidden/>
    <w:unhideWhenUsed/>
    <w:qFormat/>
    <w:uiPriority w:val="99"/>
    <w:pPr>
      <w:spacing w:after="120"/>
      <w:ind w:left="420" w:leftChars="200"/>
    </w:pPr>
  </w:style>
  <w:style w:type="paragraph" w:styleId="10">
    <w:name w:val="List 2"/>
    <w:basedOn w:val="1"/>
    <w:next w:val="1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1">
    <w:name w:val="Plain Text"/>
    <w:basedOn w:val="1"/>
    <w:next w:val="1"/>
    <w:qFormat/>
    <w:uiPriority w:val="0"/>
    <w:rPr>
      <w:rFonts w:ascii="宋体" w:hAnsi="Calibri" w:eastAsia="宋体" w:cs="Times New Roman"/>
      <w:szCs w:val="20"/>
    </w:rPr>
  </w:style>
  <w:style w:type="paragraph" w:styleId="12">
    <w:name w:val="footer"/>
    <w:basedOn w:val="1"/>
    <w:unhideWhenUsed/>
    <w:qFormat/>
    <w:uiPriority w:val="99"/>
    <w:pPr>
      <w:snapToGrid w:val="0"/>
      <w:jc w:val="left"/>
    </w:pPr>
    <w:rPr>
      <w:sz w:val="18"/>
      <w:szCs w:val="18"/>
    </w:rPr>
  </w:style>
  <w:style w:type="paragraph" w:styleId="13">
    <w:name w:val="header"/>
    <w:basedOn w:val="1"/>
    <w:next w:val="12"/>
    <w:unhideWhenUsed/>
    <w:qFormat/>
    <w:uiPriority w:val="99"/>
    <w:pPr>
      <w:pBdr>
        <w:bottom w:val="single" w:color="auto" w:sz="6" w:space="1"/>
      </w:pBdr>
      <w:snapToGrid w:val="0"/>
      <w:jc w:val="center"/>
    </w:pPr>
    <w:rPr>
      <w:sz w:val="18"/>
      <w:szCs w:val="18"/>
    </w:rPr>
  </w:style>
  <w:style w:type="paragraph" w:styleId="14">
    <w:name w:val="toc 1"/>
    <w:basedOn w:val="1"/>
    <w:next w:val="1"/>
    <w:unhideWhenUsed/>
    <w:qFormat/>
    <w:uiPriority w:val="39"/>
    <w:rPr>
      <w:b/>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9"/>
    <w:next w:val="5"/>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qFormat/>
    <w:uiPriority w:val="0"/>
    <w:pPr>
      <w:ind w:firstLine="420" w:firstLineChars="200"/>
    </w:pPr>
    <w:rPr>
      <w:rFonts w:ascii="Calibri" w:hAnsi="Calibri"/>
      <w:szCs w:val="22"/>
    </w:rPr>
  </w:style>
  <w:style w:type="paragraph" w:customStyle="1" w:styleId="24">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qFormat/>
    <w:uiPriority w:val="0"/>
    <w:pPr>
      <w:spacing w:line="360" w:lineRule="auto"/>
      <w:ind w:firstLine="420"/>
    </w:pPr>
    <w:rPr>
      <w:rFonts w:cs="宋体"/>
      <w:sz w:val="24"/>
      <w:szCs w:val="20"/>
    </w:rPr>
  </w:style>
  <w:style w:type="paragraph" w:customStyle="1" w:styleId="26">
    <w:name w:val="p15"/>
    <w:basedOn w:val="1"/>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qFormat/>
    <w:uiPriority w:val="34"/>
    <w:pPr>
      <w:ind w:firstLine="420" w:firstLineChars="200"/>
    </w:pPr>
  </w:style>
  <w:style w:type="paragraph" w:customStyle="1" w:styleId="28">
    <w:name w:val="Normal_7"/>
    <w:next w:val="29"/>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unhideWhenUsed/>
    <w:qFormat/>
    <w:uiPriority w:val="99"/>
    <w:pPr>
      <w:ind w:left="420" w:leftChars="200"/>
    </w:p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 Indent"/>
    <w:basedOn w:val="1"/>
    <w:next w:val="22"/>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qFormat/>
    <w:uiPriority w:val="0"/>
    <w:pPr>
      <w:ind w:firstLine="420"/>
    </w:pPr>
    <w:rPr>
      <w:rFonts w:ascii="Times New Roman" w:hAnsi="Times New Roman" w:cs="Times New Roman"/>
      <w:sz w:val="20"/>
      <w:szCs w:val="20"/>
    </w:rPr>
  </w:style>
  <w:style w:type="paragraph" w:customStyle="1" w:styleId="34">
    <w:name w:val="TableOfAuthoring"/>
    <w:basedOn w:val="1"/>
    <w:next w:val="1"/>
    <w:qFormat/>
    <w:uiPriority w:val="0"/>
    <w:pPr>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339</Words>
  <Characters>358</Characters>
  <Lines>0</Lines>
  <Paragraphs>0</Paragraphs>
  <TotalTime>2</TotalTime>
  <ScaleCrop>false</ScaleCrop>
  <LinksUpToDate>false</LinksUpToDate>
  <CharactersWithSpaces>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2025-06-26T06:36:00Z</cp:lastPrinted>
  <dcterms:modified xsi:type="dcterms:W3CDTF">2026-06-18T10:12:57Z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5CD477DBA5CC4B56AC27448C83B01691_13</vt:lpwstr>
  </property>
  <property fmtid="{D5CDD505-2E9C-101B-9397-08002B2CF9AE}" pid="4" name="KSOTemplateDocerSaveRecord">
    <vt:lpwstr>eyJoZGlkIjoiY2UyOTRjNGE4MmJlYWYxODFjYjlhM2NjMmZlMTIwZjgiLCJ1c2VySWQiOiIyMjY3MjMxMTYifQ==</vt:lpwstr>
  </property>
</Properties>
</file>